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4832" w14:textId="77777777" w:rsidR="00D37AE4" w:rsidRPr="00CE2D1F" w:rsidRDefault="00D37AE4" w:rsidP="003757E4">
      <w:pPr>
        <w:spacing w:line="276" w:lineRule="auto"/>
        <w:jc w:val="center"/>
        <w:outlineLvl w:val="0"/>
        <w:rPr>
          <w:rFonts w:ascii="Arial" w:hAnsi="Arial" w:cs="Arial"/>
          <w:b/>
          <w:caps/>
          <w:u w:val="single"/>
        </w:rPr>
      </w:pPr>
    </w:p>
    <w:p w14:paraId="05A50659" w14:textId="77777777" w:rsidR="00695119" w:rsidRPr="00793CC2" w:rsidRDefault="00695119" w:rsidP="00695119">
      <w:pPr>
        <w:jc w:val="both"/>
        <w:rPr>
          <w:rFonts w:ascii="Arial" w:hAnsi="Arial" w:cs="Arial"/>
          <w:b/>
          <w:sz w:val="32"/>
          <w:szCs w:val="32"/>
          <w:lang w:eastAsia="cs-CZ"/>
        </w:rPr>
      </w:pPr>
      <w:r w:rsidRPr="00793CC2">
        <w:rPr>
          <w:rFonts w:ascii="Arial" w:hAnsi="Arial" w:cs="Arial"/>
          <w:b/>
          <w:sz w:val="32"/>
          <w:szCs w:val="32"/>
          <w:lang w:eastAsia="cs-CZ"/>
        </w:rPr>
        <w:t>PŘÍSPĚVEK UZAVŘEN S ROZPOREM KE DNI 11. 12. 2024</w:t>
      </w:r>
    </w:p>
    <w:p w14:paraId="1CAF4525" w14:textId="77777777" w:rsidR="00BE6371" w:rsidRDefault="00BE6371" w:rsidP="00AA4169">
      <w:pPr>
        <w:jc w:val="center"/>
        <w:rPr>
          <w:rFonts w:ascii="Arial" w:hAnsi="Arial" w:cs="Arial"/>
          <w:b/>
          <w:color w:val="000000"/>
          <w:u w:val="single"/>
          <w:shd w:val="clear" w:color="auto" w:fill="FFFFFF"/>
        </w:rPr>
      </w:pPr>
    </w:p>
    <w:p w14:paraId="796BF841" w14:textId="5F74BE24" w:rsidR="00AA4169" w:rsidRDefault="00AA4169" w:rsidP="00AA4169">
      <w:pPr>
        <w:jc w:val="center"/>
        <w:rPr>
          <w:rFonts w:ascii="Arial" w:hAnsi="Arial" w:cs="Arial"/>
          <w:b/>
          <w:color w:val="000000"/>
          <w:u w:val="single"/>
          <w:shd w:val="clear" w:color="auto" w:fill="FFFFFF"/>
        </w:rPr>
      </w:pPr>
      <w:r>
        <w:rPr>
          <w:rFonts w:ascii="Arial" w:hAnsi="Arial" w:cs="Arial"/>
          <w:b/>
          <w:color w:val="000000"/>
          <w:u w:val="single"/>
          <w:shd w:val="clear" w:color="auto" w:fill="FFFFFF"/>
        </w:rPr>
        <w:t>Správa daní</w:t>
      </w:r>
    </w:p>
    <w:p w14:paraId="3E1FBCA4" w14:textId="77777777" w:rsidR="00200F92" w:rsidRPr="004F40AA" w:rsidRDefault="00200F92" w:rsidP="00200F92">
      <w:pPr>
        <w:rPr>
          <w:rFonts w:ascii="Arial" w:hAnsi="Arial" w:cs="Arial"/>
          <w:sz w:val="26"/>
          <w:szCs w:val="26"/>
        </w:rPr>
      </w:pPr>
    </w:p>
    <w:p w14:paraId="6294B020" w14:textId="77777777" w:rsidR="00AA4169" w:rsidRDefault="00AA4169" w:rsidP="00AA4169">
      <w:pPr>
        <w:rPr>
          <w:rFonts w:ascii="Arial" w:hAnsi="Arial" w:cs="Arial"/>
          <w:b/>
          <w:color w:val="000000"/>
          <w:shd w:val="clear" w:color="auto" w:fill="FFFFFF"/>
        </w:rPr>
      </w:pPr>
      <w:r w:rsidRPr="00873B1A">
        <w:rPr>
          <w:rFonts w:ascii="Arial" w:hAnsi="Arial" w:cs="Arial"/>
          <w:b/>
          <w:color w:val="000000"/>
          <w:shd w:val="clear" w:color="auto" w:fill="FFFFFF"/>
        </w:rPr>
        <w:t>623/11.12.24 Prodloužení lhůty pro stanovení daně dle § 148, odst. 2 daňového řádu ve vybraných případech</w:t>
      </w:r>
    </w:p>
    <w:p w14:paraId="7D359F93" w14:textId="77777777" w:rsidR="00AA4169" w:rsidRDefault="00AA4169" w:rsidP="00AA4169">
      <w:pPr>
        <w:rPr>
          <w:rFonts w:ascii="Arial" w:hAnsi="Arial" w:cs="Arial"/>
          <w:b/>
          <w:color w:val="000000"/>
          <w:shd w:val="clear" w:color="auto" w:fill="FFFFFF"/>
        </w:rPr>
      </w:pPr>
    </w:p>
    <w:p w14:paraId="0D37D672" w14:textId="77777777" w:rsidR="00AA4169" w:rsidRDefault="00AA4169" w:rsidP="00AA4169">
      <w:pPr>
        <w:rPr>
          <w:rFonts w:ascii="Arial" w:hAnsi="Arial" w:cs="Arial"/>
          <w:color w:val="000000"/>
          <w:shd w:val="clear" w:color="auto" w:fill="FFFFFF"/>
        </w:rPr>
      </w:pPr>
      <w:r>
        <w:rPr>
          <w:rFonts w:ascii="Arial" w:hAnsi="Arial" w:cs="Arial"/>
          <w:color w:val="000000"/>
          <w:shd w:val="clear" w:color="auto" w:fill="FFFFFF"/>
        </w:rPr>
        <w:t xml:space="preserve">Předkládají: </w:t>
      </w:r>
      <w:r>
        <w:rPr>
          <w:rFonts w:ascii="Arial" w:hAnsi="Arial" w:cs="Arial"/>
          <w:color w:val="000000"/>
          <w:shd w:val="clear" w:color="auto" w:fill="FFFFFF"/>
        </w:rPr>
        <w:tab/>
        <w:t>Ing. Zuzana Tregnerová, daňový poradce, č. osv. 4151</w:t>
      </w:r>
    </w:p>
    <w:p w14:paraId="322A999F" w14:textId="77777777" w:rsidR="00AA4169" w:rsidRDefault="00AA4169" w:rsidP="00AA4169">
      <w:pPr>
        <w:rPr>
          <w:rFonts w:ascii="Arial" w:hAnsi="Arial" w:cs="Arial"/>
          <w:color w:val="000000"/>
          <w:shd w:val="clear" w:color="auto" w:fill="FFFFFF"/>
        </w:rPr>
      </w:pPr>
      <w:r>
        <w:rPr>
          <w:rFonts w:ascii="Arial" w:hAnsi="Arial" w:cs="Arial"/>
          <w:color w:val="000000"/>
          <w:shd w:val="clear" w:color="auto" w:fill="FFFFFF"/>
        </w:rPr>
        <w:tab/>
      </w:r>
      <w:r>
        <w:rPr>
          <w:rFonts w:ascii="Arial" w:hAnsi="Arial" w:cs="Arial"/>
          <w:color w:val="000000"/>
          <w:shd w:val="clear" w:color="auto" w:fill="FFFFFF"/>
        </w:rPr>
        <w:tab/>
        <w:t>Ing. Tomáš Vrána, daňový poradce, č. osv. 5976</w:t>
      </w:r>
    </w:p>
    <w:p w14:paraId="27544A2C" w14:textId="77777777" w:rsidR="00AA4169" w:rsidRPr="00873B1A" w:rsidRDefault="00AA4169" w:rsidP="00AA4169">
      <w:pPr>
        <w:rPr>
          <w:rFonts w:ascii="Arial" w:hAnsi="Arial" w:cs="Arial"/>
          <w:color w:val="000000"/>
          <w:shd w:val="clear" w:color="auto" w:fill="FFFFFF"/>
        </w:rPr>
      </w:pPr>
      <w:r>
        <w:rPr>
          <w:rFonts w:ascii="Arial" w:hAnsi="Arial" w:cs="Arial"/>
          <w:color w:val="000000"/>
          <w:shd w:val="clear" w:color="auto" w:fill="FFFFFF"/>
        </w:rPr>
        <w:tab/>
      </w:r>
      <w:r>
        <w:rPr>
          <w:rFonts w:ascii="Arial" w:hAnsi="Arial" w:cs="Arial"/>
          <w:color w:val="000000"/>
          <w:shd w:val="clear" w:color="auto" w:fill="FFFFFF"/>
        </w:rPr>
        <w:tab/>
        <w:t>Ing. Tomáš Hajdušek, daňový poradce, č. osv. 1381</w:t>
      </w:r>
    </w:p>
    <w:p w14:paraId="67AE328E" w14:textId="77777777" w:rsidR="00AA4169" w:rsidRPr="004F40AA" w:rsidRDefault="00AA4169" w:rsidP="00437880">
      <w:pPr>
        <w:rPr>
          <w:rFonts w:ascii="Arial" w:hAnsi="Arial" w:cs="Arial"/>
          <w:b/>
          <w:color w:val="000000"/>
          <w:shd w:val="clear" w:color="auto" w:fill="FFFFFF"/>
        </w:rPr>
      </w:pPr>
    </w:p>
    <w:p w14:paraId="20D650BF" w14:textId="77777777" w:rsidR="00B83FB1" w:rsidRPr="00B83FB1" w:rsidRDefault="00B83FB1" w:rsidP="00B83FB1">
      <w:pPr>
        <w:pStyle w:val="Nadpis10"/>
        <w:keepLines/>
        <w:numPr>
          <w:ilvl w:val="0"/>
          <w:numId w:val="48"/>
        </w:numPr>
        <w:spacing w:before="360" w:after="80" w:line="259" w:lineRule="auto"/>
        <w:rPr>
          <w:sz w:val="24"/>
          <w:szCs w:val="24"/>
        </w:rPr>
      </w:pPr>
      <w:r w:rsidRPr="00B83FB1">
        <w:rPr>
          <w:sz w:val="24"/>
          <w:szCs w:val="24"/>
        </w:rPr>
        <w:t>Úvod a popis problému</w:t>
      </w:r>
    </w:p>
    <w:p w14:paraId="58E47D16" w14:textId="77777777" w:rsidR="00B83FB1" w:rsidRPr="00B83FB1" w:rsidRDefault="00B83FB1" w:rsidP="00B83FB1">
      <w:pPr>
        <w:jc w:val="both"/>
        <w:rPr>
          <w:rFonts w:ascii="Arial" w:hAnsi="Arial" w:cs="Arial"/>
        </w:rPr>
      </w:pPr>
      <w:r w:rsidRPr="00B83FB1">
        <w:rPr>
          <w:rFonts w:ascii="Arial" w:hAnsi="Arial" w:cs="Arial"/>
        </w:rPr>
        <w:t>Tento příspěvek se zaměřuje na běh lhůty pro stanovení daně dle § 148 zákona č. 280/2009 Sb., daňového řádu (dále jen „DŘ“), zejména na její prodloužení v konkrétních případech zjištěných v praxi. Cílem tohoto příspěvku je vyjasnit vliv určitých úkonů na běh lhůty pro stanovení daně a předejít tak sporům v dané problematice.</w:t>
      </w:r>
    </w:p>
    <w:p w14:paraId="509F9CB1" w14:textId="77777777" w:rsidR="00B83FB1" w:rsidRPr="00B83FB1" w:rsidRDefault="00B83FB1" w:rsidP="00B83FB1">
      <w:pPr>
        <w:pStyle w:val="Nadpis10"/>
        <w:keepLines/>
        <w:numPr>
          <w:ilvl w:val="0"/>
          <w:numId w:val="48"/>
        </w:numPr>
        <w:spacing w:before="360" w:after="80" w:line="259" w:lineRule="auto"/>
        <w:rPr>
          <w:sz w:val="24"/>
          <w:szCs w:val="24"/>
        </w:rPr>
      </w:pPr>
      <w:r w:rsidRPr="00B83FB1">
        <w:rPr>
          <w:sz w:val="24"/>
          <w:szCs w:val="24"/>
        </w:rPr>
        <w:t xml:space="preserve">Prodloužení lhůty pro stanovení daně dle § 148 DŘ - podání dodatečného daňového tvrzení v posledních 12 měsících před uplynutím lhůty pro stanovení daně </w:t>
      </w:r>
    </w:p>
    <w:p w14:paraId="164B1B21" w14:textId="77777777" w:rsidR="00B83FB1" w:rsidRPr="00B83FB1" w:rsidRDefault="00B83FB1" w:rsidP="00B83FB1">
      <w:pPr>
        <w:jc w:val="both"/>
        <w:rPr>
          <w:rFonts w:ascii="Arial" w:hAnsi="Arial" w:cs="Arial"/>
        </w:rPr>
      </w:pPr>
      <w:r w:rsidRPr="00B83FB1">
        <w:rPr>
          <w:rFonts w:ascii="Arial" w:hAnsi="Arial" w:cs="Arial"/>
        </w:rPr>
        <w:t>Daňový subjekt podá dodatečné daňové přiznání (dále jen „DODAP“) ve tříleté lhůtě pro stanovení daně. Jestliže do konce lhůty pro stanovení daně zbývalo méně než 12 měsíců, pak se na základě tohoto podání lhůta prodlužuje o jeden rok dle § 148, odst. 2, písm. a) DŘ. Na podané DODAP správce daně reaguje následně:</w:t>
      </w:r>
    </w:p>
    <w:p w14:paraId="5A5C78E2" w14:textId="77777777" w:rsidR="00B83FB1" w:rsidRPr="00B83FB1" w:rsidRDefault="00B83FB1" w:rsidP="00B83FB1">
      <w:pPr>
        <w:pStyle w:val="Odstavecseseznamem"/>
        <w:numPr>
          <w:ilvl w:val="0"/>
          <w:numId w:val="49"/>
        </w:numPr>
        <w:spacing w:after="160" w:line="259" w:lineRule="auto"/>
        <w:contextualSpacing/>
        <w:jc w:val="both"/>
        <w:rPr>
          <w:rFonts w:ascii="Arial" w:hAnsi="Arial" w:cs="Arial"/>
          <w:sz w:val="24"/>
          <w:szCs w:val="24"/>
        </w:rPr>
      </w:pPr>
      <w:r w:rsidRPr="00B83FB1">
        <w:rPr>
          <w:rFonts w:ascii="Arial" w:hAnsi="Arial" w:cs="Arial"/>
          <w:sz w:val="24"/>
          <w:szCs w:val="24"/>
        </w:rPr>
        <w:t>Správce daně zahájí daňovou kontrolu (dále „DK“) nebo postup pro odstranění pochybností (dále „PoP“), na jejichž základě doměří daň dle § 143 DŘ.</w:t>
      </w:r>
    </w:p>
    <w:p w14:paraId="28966346" w14:textId="77777777" w:rsidR="00B83FB1" w:rsidRPr="00B83FB1" w:rsidRDefault="00B83FB1" w:rsidP="00B83FB1">
      <w:pPr>
        <w:pStyle w:val="Odstavecseseznamem"/>
        <w:numPr>
          <w:ilvl w:val="0"/>
          <w:numId w:val="49"/>
        </w:numPr>
        <w:spacing w:after="160" w:line="259" w:lineRule="auto"/>
        <w:contextualSpacing/>
        <w:jc w:val="both"/>
        <w:rPr>
          <w:rFonts w:ascii="Arial" w:hAnsi="Arial" w:cs="Arial"/>
          <w:sz w:val="24"/>
          <w:szCs w:val="24"/>
        </w:rPr>
      </w:pPr>
      <w:r w:rsidRPr="00B83FB1">
        <w:rPr>
          <w:rFonts w:ascii="Arial" w:hAnsi="Arial" w:cs="Arial"/>
          <w:sz w:val="24"/>
          <w:szCs w:val="24"/>
        </w:rPr>
        <w:t>Doměřením daně ve stejné výši jako byla subjektem tvrzená částka (dále „konkludentně“) dle § 144, odst. 1 DŘ.</w:t>
      </w:r>
    </w:p>
    <w:p w14:paraId="2C6B40DC" w14:textId="77777777" w:rsidR="00B83FB1" w:rsidRPr="00B83FB1" w:rsidRDefault="00B83FB1" w:rsidP="00B83FB1">
      <w:pPr>
        <w:pStyle w:val="Odstavecseseznamem"/>
        <w:jc w:val="both"/>
        <w:rPr>
          <w:rFonts w:ascii="Arial" w:hAnsi="Arial" w:cs="Arial"/>
          <w:sz w:val="24"/>
          <w:szCs w:val="24"/>
          <w:u w:val="single"/>
        </w:rPr>
      </w:pPr>
    </w:p>
    <w:p w14:paraId="29A3F5E4" w14:textId="77777777" w:rsidR="00B83FB1" w:rsidRPr="00B83FB1" w:rsidRDefault="00B83FB1" w:rsidP="00B83FB1">
      <w:pPr>
        <w:rPr>
          <w:rFonts w:ascii="Arial" w:hAnsi="Arial" w:cs="Arial"/>
          <w:u w:val="single"/>
        </w:rPr>
      </w:pPr>
      <w:r w:rsidRPr="00B83FB1">
        <w:rPr>
          <w:rFonts w:ascii="Arial" w:hAnsi="Arial" w:cs="Arial"/>
          <w:u w:val="single"/>
        </w:rPr>
        <w:t>Ad (i) Prodloužení lhůty pro stanovení daně v případě zahájení PoP nebo DK</w:t>
      </w:r>
    </w:p>
    <w:p w14:paraId="121CE7A0" w14:textId="77777777" w:rsidR="00B83FB1" w:rsidRPr="00B83FB1" w:rsidRDefault="00B83FB1" w:rsidP="00B83FB1">
      <w:pPr>
        <w:rPr>
          <w:rFonts w:ascii="Arial" w:hAnsi="Arial" w:cs="Arial"/>
        </w:rPr>
      </w:pPr>
    </w:p>
    <w:p w14:paraId="79EE96A6" w14:textId="77777777" w:rsidR="00B83FB1" w:rsidRPr="00B83FB1" w:rsidRDefault="00B83FB1" w:rsidP="00B83FB1">
      <w:pPr>
        <w:jc w:val="both"/>
        <w:rPr>
          <w:rFonts w:ascii="Arial" w:hAnsi="Arial" w:cs="Arial"/>
        </w:rPr>
      </w:pPr>
      <w:r w:rsidRPr="00B83FB1">
        <w:rPr>
          <w:rFonts w:ascii="Arial" w:hAnsi="Arial" w:cs="Arial"/>
        </w:rPr>
        <w:t>Jestliže správce daně zvolí způsob ad I., pak musí daňovému subjektu na základě výsledku DK nebo PoP zaslat platební výměr na doměřenou daň. Zaslání dodatečného platebního výměru je úkonem, na jehož základě daňový subjekt zjistí výši doměřené daně a tento úkon jednoznačně znovu prodlužuje lhůtu dle § 148, odst. 2, písm. b) DŘ pro stanovení daně, pokud do jejího konce v okamžiku oznámení rozhodnutí (doručení platebního výměru) zbývá méně než 12 měsíců.</w:t>
      </w:r>
    </w:p>
    <w:p w14:paraId="511660FB" w14:textId="77777777" w:rsidR="00B83FB1" w:rsidRPr="00B83FB1" w:rsidRDefault="00B83FB1" w:rsidP="00B83FB1">
      <w:pPr>
        <w:jc w:val="both"/>
        <w:rPr>
          <w:rFonts w:ascii="Arial" w:hAnsi="Arial" w:cs="Arial"/>
          <w:u w:val="single"/>
        </w:rPr>
      </w:pPr>
    </w:p>
    <w:p w14:paraId="62934EA1" w14:textId="77777777" w:rsidR="00B83FB1" w:rsidRPr="00B83FB1" w:rsidRDefault="00B83FB1" w:rsidP="00B83FB1">
      <w:pPr>
        <w:jc w:val="both"/>
        <w:rPr>
          <w:rFonts w:ascii="Arial" w:hAnsi="Arial" w:cs="Arial"/>
          <w:u w:val="single"/>
        </w:rPr>
      </w:pPr>
      <w:r w:rsidRPr="00B83FB1">
        <w:rPr>
          <w:rFonts w:ascii="Arial" w:hAnsi="Arial" w:cs="Arial"/>
          <w:u w:val="single"/>
        </w:rPr>
        <w:t xml:space="preserve">Ad (ii) Prodloužení lhůty pro stanovení daně bez zahájení PoP nebo DK </w:t>
      </w:r>
    </w:p>
    <w:p w14:paraId="483C6156" w14:textId="77777777" w:rsidR="00B83FB1" w:rsidRPr="00B83FB1" w:rsidRDefault="00B83FB1" w:rsidP="00B83FB1">
      <w:pPr>
        <w:jc w:val="both"/>
        <w:rPr>
          <w:rFonts w:ascii="Arial" w:hAnsi="Arial" w:cs="Arial"/>
        </w:rPr>
      </w:pPr>
    </w:p>
    <w:p w14:paraId="4F6EFAD4" w14:textId="77777777" w:rsidR="00B83FB1" w:rsidRPr="00B83FB1" w:rsidRDefault="00B83FB1" w:rsidP="00B83FB1">
      <w:pPr>
        <w:jc w:val="both"/>
        <w:rPr>
          <w:rFonts w:ascii="Arial" w:hAnsi="Arial" w:cs="Arial"/>
        </w:rPr>
      </w:pPr>
      <w:r w:rsidRPr="00B83FB1">
        <w:rPr>
          <w:rFonts w:ascii="Arial" w:hAnsi="Arial" w:cs="Arial"/>
        </w:rPr>
        <w:t>Předmětem nejasností vlivu na prodloužení lhůty pro stanovení daně je druhá situace, kdy správce daně nemusí daňovému subjektu doměření oznámit platebním výměrem (§ 144 odst. 1 DŘ).</w:t>
      </w:r>
    </w:p>
    <w:p w14:paraId="6F998801" w14:textId="77777777" w:rsidR="00B83FB1" w:rsidRPr="00B83FB1" w:rsidRDefault="00B83FB1" w:rsidP="00B83FB1">
      <w:pPr>
        <w:jc w:val="both"/>
        <w:rPr>
          <w:rFonts w:ascii="Arial" w:hAnsi="Arial" w:cs="Arial"/>
        </w:rPr>
      </w:pPr>
    </w:p>
    <w:p w14:paraId="70038B44" w14:textId="77777777" w:rsidR="00B83FB1" w:rsidRPr="00B83FB1" w:rsidRDefault="00B83FB1" w:rsidP="00B83FB1">
      <w:pPr>
        <w:jc w:val="both"/>
        <w:rPr>
          <w:rFonts w:ascii="Arial" w:hAnsi="Arial" w:cs="Arial"/>
        </w:rPr>
      </w:pPr>
      <w:r w:rsidRPr="00B83FB1">
        <w:rPr>
          <w:rFonts w:ascii="Arial" w:hAnsi="Arial" w:cs="Arial"/>
        </w:rPr>
        <w:lastRenderedPageBreak/>
        <w:t>Jestliže je podání DODAP učiněno v posledním měsíci před původním uplynutím lhůty pro stanovení daně, dojde bez pochyby k prodloužení lhůty pro stanovení dně dle § 148 odst. 2 písm. a) DŘ o jeden rok. Daň je doměřena konkludentním platebním výměrem, který správce daně založí do spisu a který nemusí daňovému subjektu oznámit (doručit) postupem podle § 39 DŘ a násl.</w:t>
      </w:r>
    </w:p>
    <w:p w14:paraId="5302A81D" w14:textId="77777777" w:rsidR="00B83FB1" w:rsidRPr="00B83FB1" w:rsidRDefault="00B83FB1" w:rsidP="00B83FB1">
      <w:pPr>
        <w:jc w:val="both"/>
        <w:rPr>
          <w:rFonts w:ascii="Arial" w:hAnsi="Arial" w:cs="Arial"/>
        </w:rPr>
      </w:pPr>
    </w:p>
    <w:p w14:paraId="27F8367B" w14:textId="77777777" w:rsidR="00B83FB1" w:rsidRPr="00B83FB1" w:rsidRDefault="00B83FB1" w:rsidP="00B83FB1">
      <w:pPr>
        <w:jc w:val="both"/>
        <w:rPr>
          <w:rFonts w:ascii="Arial" w:hAnsi="Arial" w:cs="Arial"/>
        </w:rPr>
      </w:pPr>
      <w:r w:rsidRPr="00B83FB1">
        <w:rPr>
          <w:rFonts w:ascii="Arial" w:hAnsi="Arial" w:cs="Arial"/>
        </w:rPr>
        <w:t>Spornou otázkou je, zda v okamžiku, kdy do konce lhůty pro stanovení zbývá méně než 12 měsíců, dojde „založením“ dodatečného platebního výměru do spisu, k prodloužení lhůty dle § 148, odst. 2, písm. b) DŘ o další rok z důvodu fikce doručení. Den doručení fikcí je určen dle § 144 odst. 2 DŘ.</w:t>
      </w:r>
    </w:p>
    <w:p w14:paraId="784ECD45" w14:textId="77777777" w:rsidR="00B83FB1" w:rsidRPr="00B83FB1" w:rsidRDefault="00B83FB1" w:rsidP="00B83FB1">
      <w:pPr>
        <w:jc w:val="both"/>
        <w:rPr>
          <w:rFonts w:ascii="Arial" w:hAnsi="Arial" w:cs="Arial"/>
        </w:rPr>
      </w:pPr>
      <w:r w:rsidRPr="00B83FB1">
        <w:rPr>
          <w:rFonts w:ascii="Arial" w:hAnsi="Arial" w:cs="Arial"/>
        </w:rPr>
        <w:t>Vzorový příklad je uvedený na schématu níže (předpokládáme, že neexistují žádné další úkony mající vliv na běh lhůty):</w:t>
      </w:r>
    </w:p>
    <w:p w14:paraId="0225BFF0" w14:textId="77777777" w:rsidR="00B83FB1" w:rsidRPr="00B83FB1" w:rsidRDefault="00B83FB1" w:rsidP="00B83FB1">
      <w:pPr>
        <w:jc w:val="both"/>
        <w:rPr>
          <w:rFonts w:ascii="Arial" w:hAnsi="Arial" w:cs="Arial"/>
        </w:rPr>
      </w:pPr>
    </w:p>
    <w:p w14:paraId="7D411501" w14:textId="77777777" w:rsidR="00B83FB1" w:rsidRPr="00B83FB1" w:rsidRDefault="00B83FB1" w:rsidP="00B83FB1">
      <w:pPr>
        <w:jc w:val="both"/>
        <w:rPr>
          <w:rFonts w:ascii="Arial" w:hAnsi="Arial" w:cs="Arial"/>
        </w:rPr>
      </w:pPr>
      <w:r w:rsidRPr="00B83FB1">
        <w:rPr>
          <w:rFonts w:ascii="Arial" w:hAnsi="Arial" w:cs="Arial"/>
          <w:lang w:eastAsia="cs-CZ"/>
        </w:rPr>
        <w:drawing>
          <wp:inline distT="0" distB="0" distL="0" distR="0" wp14:anchorId="14E50B11" wp14:editId="31E646E5">
            <wp:extent cx="5760720" cy="913765"/>
            <wp:effectExtent l="0" t="0" r="0" b="635"/>
            <wp:docPr id="1358627411" name="Obrázek 1" descr="Obsah obrázku text, snímek obrazovky, řada/pruh,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27411" name="Obrázek 1" descr="Obsah obrázku text, snímek obrazovky, řada/pruh, Písmo&#10;&#10;Popis byl vytvořen automaticky"/>
                    <pic:cNvPicPr/>
                  </pic:nvPicPr>
                  <pic:blipFill>
                    <a:blip r:embed="rId8"/>
                    <a:stretch>
                      <a:fillRect/>
                    </a:stretch>
                  </pic:blipFill>
                  <pic:spPr>
                    <a:xfrm>
                      <a:off x="0" y="0"/>
                      <a:ext cx="5760720" cy="913765"/>
                    </a:xfrm>
                    <a:prstGeom prst="rect">
                      <a:avLst/>
                    </a:prstGeom>
                  </pic:spPr>
                </pic:pic>
              </a:graphicData>
            </a:graphic>
          </wp:inline>
        </w:drawing>
      </w:r>
    </w:p>
    <w:p w14:paraId="44CFB7C2" w14:textId="77777777" w:rsidR="00B83FB1" w:rsidRPr="00B83FB1" w:rsidRDefault="00B83FB1" w:rsidP="00B83FB1">
      <w:pPr>
        <w:jc w:val="both"/>
        <w:rPr>
          <w:rFonts w:ascii="Arial" w:hAnsi="Arial" w:cs="Arial"/>
        </w:rPr>
      </w:pPr>
    </w:p>
    <w:p w14:paraId="6FC969B6" w14:textId="77777777" w:rsidR="00B83FB1" w:rsidRPr="00B83FB1" w:rsidRDefault="00B83FB1" w:rsidP="00B83FB1">
      <w:pPr>
        <w:jc w:val="both"/>
        <w:rPr>
          <w:rFonts w:ascii="Arial" w:hAnsi="Arial" w:cs="Arial"/>
        </w:rPr>
      </w:pPr>
      <w:r w:rsidRPr="00B83FB1">
        <w:rPr>
          <w:rFonts w:ascii="Arial" w:hAnsi="Arial" w:cs="Arial"/>
        </w:rPr>
        <w:t>Z uvedeného příkladu na časové ose je patrné, že lhůta bude na základě podaného DODAP prodloužena do 25. 4. 2024.  Sporným bodem je interpretace, kdy podle § 148 odst. 2 písm. b) DŘ dojde k následnému prodloužení lhůty o další rok, tedy do 25. 4. 2025 (viz červeně zvýrazněné úkony na časové ose), a to z důvodu uplatnění fikce doručení rozhodnutí uvedené v § 144 odst. 2 DŘ.</w:t>
      </w:r>
    </w:p>
    <w:p w14:paraId="1CE95BF6" w14:textId="77777777" w:rsidR="00B83FB1" w:rsidRPr="00B83FB1" w:rsidRDefault="00B83FB1" w:rsidP="00B83FB1">
      <w:pPr>
        <w:pStyle w:val="Nadpis10"/>
        <w:keepLines/>
        <w:numPr>
          <w:ilvl w:val="0"/>
          <w:numId w:val="48"/>
        </w:numPr>
        <w:spacing w:before="360" w:after="80" w:line="259" w:lineRule="auto"/>
        <w:rPr>
          <w:sz w:val="24"/>
          <w:szCs w:val="24"/>
        </w:rPr>
      </w:pPr>
      <w:r w:rsidRPr="00B83FB1">
        <w:rPr>
          <w:sz w:val="24"/>
          <w:szCs w:val="24"/>
        </w:rPr>
        <w:t>Zákonná úprava</w:t>
      </w:r>
    </w:p>
    <w:p w14:paraId="3F79B51F" w14:textId="77777777" w:rsidR="00B83FB1" w:rsidRPr="00B83FB1" w:rsidRDefault="00B83FB1" w:rsidP="00B83FB1">
      <w:pPr>
        <w:jc w:val="both"/>
        <w:rPr>
          <w:rFonts w:ascii="Arial" w:hAnsi="Arial" w:cs="Arial"/>
        </w:rPr>
      </w:pPr>
    </w:p>
    <w:p w14:paraId="3B264E6A" w14:textId="77777777" w:rsidR="00B83FB1" w:rsidRPr="00B83FB1" w:rsidRDefault="00B83FB1" w:rsidP="00B83FB1">
      <w:pPr>
        <w:jc w:val="both"/>
        <w:rPr>
          <w:rFonts w:ascii="Arial" w:hAnsi="Arial" w:cs="Arial"/>
        </w:rPr>
      </w:pPr>
      <w:r w:rsidRPr="00B83FB1">
        <w:rPr>
          <w:rFonts w:ascii="Arial" w:hAnsi="Arial" w:cs="Arial"/>
        </w:rPr>
        <w:t>§ 148 DŘ:</w:t>
      </w:r>
    </w:p>
    <w:p w14:paraId="479AFE6A" w14:textId="77777777" w:rsidR="00B83FB1" w:rsidRPr="00B83FB1" w:rsidRDefault="00B83FB1" w:rsidP="00B83FB1">
      <w:pPr>
        <w:jc w:val="both"/>
        <w:rPr>
          <w:rFonts w:ascii="Arial" w:hAnsi="Arial" w:cs="Arial"/>
          <w:i/>
          <w:iCs/>
        </w:rPr>
      </w:pPr>
    </w:p>
    <w:p w14:paraId="201F1468" w14:textId="77777777" w:rsidR="00B83FB1" w:rsidRPr="00B83FB1" w:rsidRDefault="00B83FB1" w:rsidP="00B83FB1">
      <w:pPr>
        <w:jc w:val="both"/>
        <w:rPr>
          <w:rFonts w:ascii="Arial" w:hAnsi="Arial" w:cs="Arial"/>
          <w:i/>
          <w:iCs/>
        </w:rPr>
      </w:pPr>
      <w:r w:rsidRPr="00B83FB1">
        <w:rPr>
          <w:rFonts w:ascii="Arial" w:hAnsi="Arial" w:cs="Arial"/>
          <w:i/>
          <w:iCs/>
        </w:rPr>
        <w:t>(1) Daň nelze stanovit po uplynutí lhůty pro stanovení daně, která činí 3 roky. Lhůta pro stanovení daně počne běžet dnem, v němž uplynula lhůta pro podání řádného daňového tvrzení, nebo v němž se stala daň splatnou, aniž by zde byla současně povinnost podat řádné daňové tvrzení.</w:t>
      </w:r>
    </w:p>
    <w:p w14:paraId="635EA2D6" w14:textId="77777777" w:rsidR="00B83FB1" w:rsidRPr="00B83FB1" w:rsidRDefault="00B83FB1" w:rsidP="00B83FB1">
      <w:pPr>
        <w:jc w:val="both"/>
        <w:rPr>
          <w:rFonts w:ascii="Arial" w:hAnsi="Arial" w:cs="Arial"/>
          <w:i/>
          <w:iCs/>
        </w:rPr>
      </w:pPr>
    </w:p>
    <w:p w14:paraId="4099C967" w14:textId="77777777" w:rsidR="00B83FB1" w:rsidRPr="00B83FB1" w:rsidRDefault="00B83FB1" w:rsidP="00B83FB1">
      <w:pPr>
        <w:jc w:val="both"/>
        <w:rPr>
          <w:rFonts w:ascii="Arial" w:hAnsi="Arial" w:cs="Arial"/>
          <w:i/>
          <w:iCs/>
        </w:rPr>
      </w:pPr>
      <w:r w:rsidRPr="00B83FB1">
        <w:rPr>
          <w:rFonts w:ascii="Arial" w:hAnsi="Arial" w:cs="Arial"/>
          <w:i/>
          <w:iCs/>
        </w:rPr>
        <w:t>(2) Lhůta pro stanovení daně se prodlužuje o 1 rok, pokud v posledních 12 měsících před uplynutím dosavadní lhůty pro stanovení daně došlo k</w:t>
      </w:r>
    </w:p>
    <w:p w14:paraId="66D05034" w14:textId="77777777" w:rsidR="00B83FB1" w:rsidRPr="00B83FB1" w:rsidRDefault="00B83FB1" w:rsidP="00B83FB1">
      <w:pPr>
        <w:ind w:left="284"/>
        <w:jc w:val="both"/>
        <w:rPr>
          <w:rFonts w:ascii="Arial" w:hAnsi="Arial" w:cs="Arial"/>
          <w:i/>
          <w:iCs/>
        </w:rPr>
      </w:pPr>
      <w:r w:rsidRPr="00B83FB1">
        <w:rPr>
          <w:rFonts w:ascii="Arial" w:hAnsi="Arial" w:cs="Arial"/>
          <w:i/>
          <w:iCs/>
        </w:rPr>
        <w:t>a) podání dodatečného daňového tvrzení nebo oznámení výzvy k podání dodatečného daňového tvrzení, pokud tato výzva vedla k doměření daně, (nebo)</w:t>
      </w:r>
    </w:p>
    <w:p w14:paraId="60A1C849" w14:textId="77777777" w:rsidR="00B83FB1" w:rsidRPr="00B83FB1" w:rsidRDefault="00B83FB1" w:rsidP="00B83FB1">
      <w:pPr>
        <w:ind w:left="284"/>
        <w:jc w:val="both"/>
        <w:rPr>
          <w:rFonts w:ascii="Arial" w:hAnsi="Arial" w:cs="Arial"/>
          <w:i/>
          <w:iCs/>
        </w:rPr>
      </w:pPr>
      <w:r w:rsidRPr="00B83FB1">
        <w:rPr>
          <w:rFonts w:ascii="Arial" w:hAnsi="Arial" w:cs="Arial"/>
          <w:i/>
          <w:iCs/>
        </w:rPr>
        <w:t>b) oznámení rozhodnutí o stanovení daně (…)</w:t>
      </w:r>
    </w:p>
    <w:p w14:paraId="398D79DA" w14:textId="77777777" w:rsidR="00B83FB1" w:rsidRPr="00B83FB1" w:rsidRDefault="00B83FB1" w:rsidP="00B83FB1">
      <w:pPr>
        <w:jc w:val="both"/>
        <w:rPr>
          <w:rFonts w:ascii="Arial" w:hAnsi="Arial" w:cs="Arial"/>
        </w:rPr>
      </w:pPr>
      <w:r w:rsidRPr="00B83FB1">
        <w:rPr>
          <w:rFonts w:ascii="Arial" w:hAnsi="Arial" w:cs="Arial"/>
        </w:rPr>
        <w:t>***</w:t>
      </w:r>
    </w:p>
    <w:p w14:paraId="0388782A" w14:textId="77777777" w:rsidR="00B83FB1" w:rsidRPr="00B83FB1" w:rsidRDefault="00B83FB1" w:rsidP="00B83FB1">
      <w:pPr>
        <w:jc w:val="both"/>
        <w:rPr>
          <w:rFonts w:ascii="Arial" w:hAnsi="Arial" w:cs="Arial"/>
        </w:rPr>
      </w:pPr>
    </w:p>
    <w:p w14:paraId="2576A02D" w14:textId="77777777" w:rsidR="00B83FB1" w:rsidRPr="00B83FB1" w:rsidRDefault="00B83FB1" w:rsidP="00B83FB1">
      <w:pPr>
        <w:jc w:val="both"/>
        <w:rPr>
          <w:rFonts w:ascii="Arial" w:hAnsi="Arial" w:cs="Arial"/>
        </w:rPr>
      </w:pPr>
      <w:r w:rsidRPr="00B83FB1">
        <w:rPr>
          <w:rFonts w:ascii="Arial" w:hAnsi="Arial" w:cs="Arial"/>
        </w:rPr>
        <w:t>§ 144 DŘ:</w:t>
      </w:r>
    </w:p>
    <w:p w14:paraId="52EBABAC" w14:textId="77777777" w:rsidR="00B83FB1" w:rsidRPr="00B83FB1" w:rsidRDefault="00B83FB1" w:rsidP="00B83FB1">
      <w:pPr>
        <w:jc w:val="both"/>
        <w:rPr>
          <w:rFonts w:ascii="Arial" w:hAnsi="Arial" w:cs="Arial"/>
          <w:i/>
          <w:iCs/>
        </w:rPr>
      </w:pPr>
    </w:p>
    <w:p w14:paraId="3625D0B5" w14:textId="77777777" w:rsidR="00B83FB1" w:rsidRPr="00B83FB1" w:rsidRDefault="00B83FB1" w:rsidP="00B83FB1">
      <w:pPr>
        <w:jc w:val="both"/>
        <w:rPr>
          <w:rFonts w:ascii="Arial" w:hAnsi="Arial" w:cs="Arial"/>
          <w:i/>
          <w:iCs/>
        </w:rPr>
      </w:pPr>
      <w:r w:rsidRPr="00B83FB1">
        <w:rPr>
          <w:rFonts w:ascii="Arial" w:hAnsi="Arial" w:cs="Arial"/>
          <w:i/>
          <w:iCs/>
        </w:rPr>
        <w:t>(1) Neodchyluje-li se doměřovaná daň od daně dodatečně tvrzené daňovým subjektem, správce daně nemusí daňovému subjektu výsledek doměření oznamovat dodatečným platebním výměrem; to neplatí, pokud byl zahájen postup k odstranění pochybností nebo byla zahájena daňová kontrola. Dodatečný platební výměr správce daně založí do spisu.</w:t>
      </w:r>
    </w:p>
    <w:p w14:paraId="63C486D2" w14:textId="77777777" w:rsidR="00B83FB1" w:rsidRPr="00B83FB1" w:rsidRDefault="00B83FB1" w:rsidP="00B83FB1">
      <w:pPr>
        <w:jc w:val="both"/>
        <w:rPr>
          <w:rFonts w:ascii="Arial" w:hAnsi="Arial" w:cs="Arial"/>
          <w:i/>
          <w:iCs/>
        </w:rPr>
      </w:pPr>
    </w:p>
    <w:p w14:paraId="057502AE" w14:textId="77777777" w:rsidR="00B83FB1" w:rsidRPr="00B83FB1" w:rsidRDefault="00B83FB1" w:rsidP="00B83FB1">
      <w:pPr>
        <w:jc w:val="both"/>
        <w:rPr>
          <w:rFonts w:ascii="Arial" w:hAnsi="Arial" w:cs="Arial"/>
          <w:i/>
          <w:iCs/>
        </w:rPr>
      </w:pPr>
      <w:r w:rsidRPr="00B83FB1">
        <w:rPr>
          <w:rFonts w:ascii="Arial" w:hAnsi="Arial" w:cs="Arial"/>
          <w:i/>
          <w:iCs/>
        </w:rPr>
        <w:lastRenderedPageBreak/>
        <w:t>(2) Za den doručení dodatečného platebního výměru daňovému subjektu se považuje poslední den lhůty pro podání dodatečného daňového přiznání nebo dodatečného vyúčtování, a bylo-li dodatečné daňové přiznání nebo dodatečné vyúčtování podáno opožděně, den, kdy došlo správci daně. (…)</w:t>
      </w:r>
    </w:p>
    <w:p w14:paraId="74F47F43" w14:textId="77777777" w:rsidR="00B83FB1" w:rsidRPr="00B83FB1" w:rsidRDefault="00B83FB1" w:rsidP="00B83FB1">
      <w:pPr>
        <w:jc w:val="both"/>
        <w:rPr>
          <w:rFonts w:ascii="Arial" w:hAnsi="Arial" w:cs="Arial"/>
        </w:rPr>
      </w:pPr>
      <w:r w:rsidRPr="00B83FB1">
        <w:rPr>
          <w:rFonts w:ascii="Arial" w:hAnsi="Arial" w:cs="Arial"/>
        </w:rPr>
        <w:t>***</w:t>
      </w:r>
    </w:p>
    <w:p w14:paraId="62C31411" w14:textId="77777777" w:rsidR="00B83FB1" w:rsidRPr="00B83FB1" w:rsidRDefault="00B83FB1" w:rsidP="00B83FB1">
      <w:pPr>
        <w:jc w:val="both"/>
        <w:rPr>
          <w:rFonts w:ascii="Arial" w:hAnsi="Arial" w:cs="Arial"/>
        </w:rPr>
      </w:pPr>
    </w:p>
    <w:p w14:paraId="70E5AB36" w14:textId="77777777" w:rsidR="00B83FB1" w:rsidRPr="00B83FB1" w:rsidRDefault="00B83FB1" w:rsidP="00B83FB1">
      <w:pPr>
        <w:jc w:val="both"/>
        <w:rPr>
          <w:rFonts w:ascii="Arial" w:hAnsi="Arial" w:cs="Arial"/>
        </w:rPr>
      </w:pPr>
      <w:r w:rsidRPr="00B83FB1">
        <w:rPr>
          <w:rFonts w:ascii="Arial" w:hAnsi="Arial" w:cs="Arial"/>
        </w:rPr>
        <w:t>§ 101, odst. 6 DŘ:</w:t>
      </w:r>
    </w:p>
    <w:p w14:paraId="35E62B0F" w14:textId="77777777" w:rsidR="00B83FB1" w:rsidRPr="00B83FB1" w:rsidRDefault="00B83FB1" w:rsidP="00B83FB1">
      <w:pPr>
        <w:jc w:val="both"/>
        <w:rPr>
          <w:rFonts w:ascii="Arial" w:hAnsi="Arial" w:cs="Arial"/>
          <w:i/>
          <w:iCs/>
        </w:rPr>
      </w:pPr>
      <w:r w:rsidRPr="00B83FB1">
        <w:rPr>
          <w:rFonts w:ascii="Arial" w:hAnsi="Arial" w:cs="Arial"/>
          <w:i/>
          <w:iCs/>
        </w:rPr>
        <w:t>(6) Oznámením rozhodnutí se pro účely tohoto zákona rozumí doručení rozhodnutí nebo jiný prokazatelný způsob seznámení příjemce s obsahem rozhodnutí.</w:t>
      </w:r>
    </w:p>
    <w:p w14:paraId="5A0E9C6A" w14:textId="77777777" w:rsidR="00B83FB1" w:rsidRPr="00B83FB1" w:rsidRDefault="00B83FB1" w:rsidP="00B83FB1">
      <w:pPr>
        <w:jc w:val="both"/>
        <w:rPr>
          <w:rFonts w:ascii="Arial" w:hAnsi="Arial" w:cs="Arial"/>
        </w:rPr>
      </w:pPr>
      <w:r w:rsidRPr="00B83FB1">
        <w:rPr>
          <w:rFonts w:ascii="Arial" w:hAnsi="Arial" w:cs="Arial"/>
        </w:rPr>
        <w:t>***</w:t>
      </w:r>
    </w:p>
    <w:p w14:paraId="7D9370A9" w14:textId="77777777" w:rsidR="00B83FB1" w:rsidRPr="00B83FB1" w:rsidRDefault="00B83FB1" w:rsidP="00B83FB1">
      <w:pPr>
        <w:jc w:val="both"/>
        <w:rPr>
          <w:rFonts w:ascii="Arial" w:hAnsi="Arial" w:cs="Arial"/>
          <w:i/>
          <w:iCs/>
        </w:rPr>
      </w:pPr>
    </w:p>
    <w:p w14:paraId="1C5601A7" w14:textId="77777777" w:rsidR="00B83FB1" w:rsidRPr="00B83FB1" w:rsidRDefault="00B83FB1" w:rsidP="00B83FB1">
      <w:pPr>
        <w:jc w:val="both"/>
        <w:rPr>
          <w:rFonts w:ascii="Arial" w:hAnsi="Arial" w:cs="Arial"/>
          <w:i/>
          <w:iCs/>
        </w:rPr>
      </w:pPr>
      <w:r w:rsidRPr="00B83FB1">
        <w:rPr>
          <w:rFonts w:ascii="Arial" w:hAnsi="Arial" w:cs="Arial"/>
          <w:i/>
          <w:iCs/>
        </w:rPr>
        <w:t>§ 39, odst. 1 DŘ:</w:t>
      </w:r>
    </w:p>
    <w:p w14:paraId="2A8A19B1" w14:textId="77777777" w:rsidR="00B83FB1" w:rsidRPr="00B83FB1" w:rsidRDefault="00B83FB1" w:rsidP="00B83FB1">
      <w:pPr>
        <w:jc w:val="both"/>
        <w:rPr>
          <w:rFonts w:ascii="Arial" w:hAnsi="Arial" w:cs="Arial"/>
          <w:i/>
          <w:iCs/>
        </w:rPr>
      </w:pPr>
      <w:r w:rsidRPr="00B83FB1">
        <w:rPr>
          <w:rFonts w:ascii="Arial" w:hAnsi="Arial" w:cs="Arial"/>
          <w:i/>
          <w:iCs/>
        </w:rPr>
        <w:t>(1) Správce daně doručuje písemnost</w:t>
      </w:r>
    </w:p>
    <w:p w14:paraId="0F0873B8" w14:textId="77777777" w:rsidR="00B83FB1" w:rsidRPr="00B83FB1" w:rsidRDefault="00B83FB1" w:rsidP="00B83FB1">
      <w:pPr>
        <w:jc w:val="both"/>
        <w:rPr>
          <w:rFonts w:ascii="Arial" w:hAnsi="Arial" w:cs="Arial"/>
          <w:i/>
          <w:iCs/>
        </w:rPr>
      </w:pPr>
      <w:r w:rsidRPr="00B83FB1">
        <w:rPr>
          <w:rFonts w:ascii="Arial" w:hAnsi="Arial" w:cs="Arial"/>
          <w:i/>
          <w:iCs/>
        </w:rPr>
        <w:t>a) při ústním jednání nebo při jiném úkonu, nebo</w:t>
      </w:r>
    </w:p>
    <w:p w14:paraId="524C1A35" w14:textId="77777777" w:rsidR="00B83FB1" w:rsidRPr="00B83FB1" w:rsidRDefault="00B83FB1" w:rsidP="00B83FB1">
      <w:pPr>
        <w:jc w:val="both"/>
        <w:rPr>
          <w:rFonts w:ascii="Arial" w:hAnsi="Arial" w:cs="Arial"/>
          <w:i/>
          <w:iCs/>
        </w:rPr>
      </w:pPr>
      <w:r w:rsidRPr="00B83FB1">
        <w:rPr>
          <w:rFonts w:ascii="Arial" w:hAnsi="Arial" w:cs="Arial"/>
          <w:i/>
          <w:iCs/>
        </w:rPr>
        <w:t>b) elektronicky.</w:t>
      </w:r>
    </w:p>
    <w:p w14:paraId="4C963E37" w14:textId="77777777" w:rsidR="00B83FB1" w:rsidRPr="00B83FB1" w:rsidRDefault="00B83FB1" w:rsidP="00B83FB1">
      <w:pPr>
        <w:pStyle w:val="Nadpis10"/>
        <w:keepLines/>
        <w:numPr>
          <w:ilvl w:val="0"/>
          <w:numId w:val="48"/>
        </w:numPr>
        <w:spacing w:before="360" w:after="80" w:line="259" w:lineRule="auto"/>
        <w:rPr>
          <w:sz w:val="24"/>
          <w:szCs w:val="24"/>
        </w:rPr>
      </w:pPr>
      <w:r w:rsidRPr="00B83FB1">
        <w:rPr>
          <w:sz w:val="24"/>
          <w:szCs w:val="24"/>
        </w:rPr>
        <w:t xml:space="preserve">Posouzení problematiky předkladateli - podání dodatečného daňového tvrzení v posledních 12 měsících před uplynutím lhůty pro stanovení daně </w:t>
      </w:r>
    </w:p>
    <w:p w14:paraId="3ADDB174" w14:textId="77777777" w:rsidR="00B83FB1" w:rsidRPr="00B83FB1" w:rsidRDefault="00B83FB1" w:rsidP="00B83FB1">
      <w:pPr>
        <w:jc w:val="both"/>
        <w:rPr>
          <w:rFonts w:ascii="Arial" w:hAnsi="Arial" w:cs="Arial"/>
        </w:rPr>
      </w:pPr>
      <w:r w:rsidRPr="00B83FB1">
        <w:rPr>
          <w:rFonts w:ascii="Arial" w:hAnsi="Arial" w:cs="Arial"/>
        </w:rPr>
        <w:t>Meritem posuzované věci je skutečnost, zda založení dodatečného platebního výměru do spisu bez jeho oznámení daňovému subjektu postupem dle § 144 odst. 1 DŘ založí současně ve vazbě na § 144 odst. 2 DŘ právní fikci doručení, která způsobí prodloužení lhůty pro stanovení daně o další rok dle § 148 odst. 2 písm. b) DŘ.</w:t>
      </w:r>
    </w:p>
    <w:p w14:paraId="65ED7113" w14:textId="77777777" w:rsidR="00B83FB1" w:rsidRPr="00B83FB1" w:rsidRDefault="00B83FB1" w:rsidP="00B83FB1">
      <w:pPr>
        <w:jc w:val="both"/>
        <w:rPr>
          <w:rFonts w:ascii="Arial" w:hAnsi="Arial" w:cs="Arial"/>
        </w:rPr>
      </w:pPr>
    </w:p>
    <w:p w14:paraId="6117E01C" w14:textId="77777777" w:rsidR="00B83FB1" w:rsidRPr="00B83FB1" w:rsidRDefault="00B83FB1" w:rsidP="00B83FB1">
      <w:pPr>
        <w:jc w:val="both"/>
        <w:rPr>
          <w:rFonts w:ascii="Arial" w:hAnsi="Arial" w:cs="Arial"/>
        </w:rPr>
      </w:pPr>
      <w:r w:rsidRPr="00B83FB1">
        <w:rPr>
          <w:rFonts w:ascii="Arial" w:hAnsi="Arial" w:cs="Arial"/>
        </w:rPr>
        <w:t>Jelikož k danému případu neexistuje žádná přímá aktuální judikatura, je nutné vyjít zejména z důvodových zpráv a komentářů k DŘ, ze kterých lze smysl lhůty dle § 148 DŘ, jejího možného prodloužení, alternativně stavění, vyčíst.</w:t>
      </w:r>
    </w:p>
    <w:p w14:paraId="6BFD75D3" w14:textId="77777777" w:rsidR="00B83FB1" w:rsidRPr="00B83FB1" w:rsidRDefault="00B83FB1" w:rsidP="00B83FB1">
      <w:pPr>
        <w:jc w:val="both"/>
        <w:rPr>
          <w:rFonts w:ascii="Arial" w:hAnsi="Arial" w:cs="Arial"/>
        </w:rPr>
      </w:pPr>
    </w:p>
    <w:p w14:paraId="759E0FD1" w14:textId="77777777" w:rsidR="00B83FB1" w:rsidRPr="00B83FB1" w:rsidRDefault="00B83FB1" w:rsidP="00B83FB1">
      <w:pPr>
        <w:jc w:val="both"/>
        <w:rPr>
          <w:rFonts w:ascii="Arial" w:hAnsi="Arial" w:cs="Arial"/>
        </w:rPr>
      </w:pPr>
      <w:r w:rsidRPr="00B83FB1">
        <w:rPr>
          <w:rFonts w:ascii="Arial" w:hAnsi="Arial" w:cs="Arial"/>
        </w:rPr>
        <w:t>Důvodová zpráva k § 148 DŘ upozorňuje, že je nezbytné stanovit pro běh lhůty jasné mantinely.  K samotnému odstavci 2 písm. b) důvodová zpráva uvádí:</w:t>
      </w:r>
    </w:p>
    <w:p w14:paraId="4BD1C1FB" w14:textId="77777777" w:rsidR="00B83FB1" w:rsidRPr="00B83FB1" w:rsidRDefault="00B83FB1" w:rsidP="00B83FB1">
      <w:pPr>
        <w:jc w:val="both"/>
        <w:rPr>
          <w:rFonts w:ascii="Arial" w:hAnsi="Arial" w:cs="Arial"/>
        </w:rPr>
      </w:pPr>
    </w:p>
    <w:p w14:paraId="490B9A2B" w14:textId="77777777" w:rsidR="00B83FB1" w:rsidRPr="00B83FB1" w:rsidRDefault="00B83FB1" w:rsidP="00B83FB1">
      <w:pPr>
        <w:jc w:val="both"/>
        <w:rPr>
          <w:rFonts w:ascii="Arial" w:hAnsi="Arial" w:cs="Arial"/>
        </w:rPr>
      </w:pPr>
      <w:r w:rsidRPr="00B83FB1">
        <w:rPr>
          <w:rFonts w:ascii="Arial" w:hAnsi="Arial" w:cs="Arial"/>
        </w:rPr>
        <w:t>„</w:t>
      </w:r>
      <w:r w:rsidRPr="00B83FB1">
        <w:rPr>
          <w:rFonts w:ascii="Arial" w:hAnsi="Arial" w:cs="Arial"/>
          <w:i/>
          <w:iCs/>
        </w:rPr>
        <w:t>K odstranění právní nejistoty je v odstavcích 2 a 3 nově stanoven taxativní výčet úkonů ze strany správce daně nebo daňového subjektu, které přerušují nebo prodlužují běh tříleté lhůty. Cílem je vytvoření dostatečného prostoru na obou stranách pro nalezení věcně i právně správně zjištěné a stanovené daně. Vzhledem k aktuální judikatuře se navrhuje řešení, které zohlední snahu o omezení možnosti prodloužení běhu lhůty pro stanovení daně, ale současně ještě umožní jak řádný výkon správy daní, tak i využití všech prostředků ochrany práv daňových subjektů</w:t>
      </w:r>
      <w:r w:rsidRPr="00B83FB1">
        <w:rPr>
          <w:rFonts w:ascii="Arial" w:hAnsi="Arial" w:cs="Arial"/>
        </w:rPr>
        <w:t>.“</w:t>
      </w:r>
    </w:p>
    <w:p w14:paraId="5D26313F" w14:textId="77777777" w:rsidR="00B83FB1" w:rsidRPr="00B83FB1" w:rsidRDefault="00B83FB1" w:rsidP="00B83FB1">
      <w:pPr>
        <w:jc w:val="both"/>
        <w:rPr>
          <w:rFonts w:ascii="Arial" w:hAnsi="Arial" w:cs="Arial"/>
        </w:rPr>
      </w:pPr>
    </w:p>
    <w:p w14:paraId="1D3C1E9F" w14:textId="77777777" w:rsidR="00B83FB1" w:rsidRPr="00B83FB1" w:rsidRDefault="00B83FB1" w:rsidP="00B83FB1">
      <w:pPr>
        <w:jc w:val="both"/>
        <w:rPr>
          <w:rFonts w:ascii="Arial" w:hAnsi="Arial" w:cs="Arial"/>
        </w:rPr>
      </w:pPr>
      <w:r w:rsidRPr="00B83FB1">
        <w:rPr>
          <w:rFonts w:ascii="Arial" w:hAnsi="Arial" w:cs="Arial"/>
        </w:rPr>
        <w:t>V případě podání dodatečného přiznání je dostatečný prostor vytvořen prodloužením lhůty pro stanovení daně o jeden rok právě podle odst. 2 písm. a) a není tak důvod tuto lhůtu prodlužovat ještě o jeden rok pouze z důvodu veskrze formálního, jako je založení dodatečného platebního výměru do spisu dle § 144 odst. 1 DŘ.</w:t>
      </w:r>
    </w:p>
    <w:p w14:paraId="266F8059" w14:textId="77777777" w:rsidR="00B83FB1" w:rsidRPr="00B83FB1" w:rsidRDefault="00B83FB1" w:rsidP="00B83FB1">
      <w:pPr>
        <w:jc w:val="both"/>
        <w:rPr>
          <w:rFonts w:ascii="Arial" w:hAnsi="Arial" w:cs="Arial"/>
        </w:rPr>
      </w:pPr>
    </w:p>
    <w:p w14:paraId="1E9B8DDB" w14:textId="77777777" w:rsidR="00B83FB1" w:rsidRPr="00B83FB1" w:rsidRDefault="00B83FB1" w:rsidP="00B83FB1">
      <w:pPr>
        <w:jc w:val="both"/>
        <w:rPr>
          <w:rFonts w:ascii="Arial" w:hAnsi="Arial" w:cs="Arial"/>
        </w:rPr>
      </w:pPr>
      <w:r w:rsidRPr="00B83FB1">
        <w:rPr>
          <w:rFonts w:ascii="Arial" w:hAnsi="Arial" w:cs="Arial"/>
        </w:rPr>
        <w:t>Přejdeme-li ke komentářům k tomuto ustanovení, pak dle Baxy</w:t>
      </w:r>
      <w:r w:rsidRPr="00B83FB1">
        <w:rPr>
          <w:rStyle w:val="Znakapoznpodarou"/>
          <w:rFonts w:ascii="Arial" w:hAnsi="Arial" w:cs="Arial"/>
        </w:rPr>
        <w:footnoteReference w:id="1"/>
      </w:r>
      <w:r w:rsidRPr="00B83FB1">
        <w:rPr>
          <w:rFonts w:ascii="Arial" w:hAnsi="Arial" w:cs="Arial"/>
        </w:rPr>
        <w:t xml:space="preserve"> lhůta pro stanovení daně představuje určitou bariéru pro eventuální svévolné zásahy do právní sféry </w:t>
      </w:r>
      <w:r w:rsidRPr="00B83FB1">
        <w:rPr>
          <w:rFonts w:ascii="Arial" w:hAnsi="Arial" w:cs="Arial"/>
        </w:rPr>
        <w:lastRenderedPageBreak/>
        <w:t xml:space="preserve">daňových subjektů, ke kterým by při její absenci mohlo docházet. Zároveň platí, že obě strany by měly mít </w:t>
      </w:r>
      <w:r w:rsidRPr="00B83FB1">
        <w:rPr>
          <w:rFonts w:ascii="Arial" w:hAnsi="Arial" w:cs="Arial"/>
          <w:b/>
          <w:bCs/>
        </w:rPr>
        <w:t>objektivně daný a jednoznačně definovaný časový prostor</w:t>
      </w:r>
      <w:r w:rsidRPr="00B83FB1">
        <w:rPr>
          <w:rFonts w:ascii="Arial" w:hAnsi="Arial" w:cs="Arial"/>
        </w:rPr>
        <w:t xml:space="preserve">, ve kterém mohou vzájemně vypořádávat právní vztahy plynoucí z daňových povinností. Délka tohoto časového prostoru by pak měla být vyvážená tak, aby zohledňovala komplikovanost a náročnost dané materie, ale zároveň </w:t>
      </w:r>
      <w:r w:rsidRPr="00B83FB1">
        <w:rPr>
          <w:rFonts w:ascii="Arial" w:hAnsi="Arial" w:cs="Arial"/>
          <w:b/>
          <w:bCs/>
        </w:rPr>
        <w:t>nepředstavovala nedůvodný zásah do právní jistoty zúčastněných stran</w:t>
      </w:r>
      <w:r w:rsidRPr="00B83FB1">
        <w:rPr>
          <w:rFonts w:ascii="Arial" w:hAnsi="Arial" w:cs="Arial"/>
        </w:rPr>
        <w:t xml:space="preserve">. </w:t>
      </w:r>
    </w:p>
    <w:p w14:paraId="509DD4E3" w14:textId="77777777" w:rsidR="00B83FB1" w:rsidRPr="00B83FB1" w:rsidRDefault="00B83FB1" w:rsidP="00B83FB1">
      <w:pPr>
        <w:jc w:val="both"/>
        <w:rPr>
          <w:rFonts w:ascii="Arial" w:hAnsi="Arial" w:cs="Arial"/>
        </w:rPr>
      </w:pPr>
    </w:p>
    <w:p w14:paraId="51FCE97F" w14:textId="77777777" w:rsidR="00B83FB1" w:rsidRPr="00B83FB1" w:rsidRDefault="00B83FB1" w:rsidP="00B83FB1">
      <w:pPr>
        <w:jc w:val="both"/>
        <w:rPr>
          <w:rFonts w:ascii="Arial" w:hAnsi="Arial" w:cs="Arial"/>
        </w:rPr>
      </w:pPr>
      <w:r w:rsidRPr="00B83FB1">
        <w:rPr>
          <w:rFonts w:ascii="Arial" w:hAnsi="Arial" w:cs="Arial"/>
        </w:rPr>
        <w:t>Podle Lichnovského</w:t>
      </w:r>
      <w:r w:rsidRPr="00B83FB1">
        <w:rPr>
          <w:rStyle w:val="Znakapoznpodarou"/>
          <w:rFonts w:ascii="Arial" w:hAnsi="Arial" w:cs="Arial"/>
        </w:rPr>
        <w:footnoteReference w:id="2"/>
      </w:r>
      <w:r w:rsidRPr="00B83FB1">
        <w:rPr>
          <w:rFonts w:ascii="Arial" w:hAnsi="Arial" w:cs="Arial"/>
        </w:rPr>
        <w:t xml:space="preserve"> „</w:t>
      </w:r>
      <w:r w:rsidRPr="00B83FB1">
        <w:rPr>
          <w:rFonts w:ascii="Arial" w:hAnsi="Arial" w:cs="Arial"/>
          <w:i/>
          <w:iCs/>
        </w:rPr>
        <w:t xml:space="preserve">Jak bývá u lhůt obvyklé, také prekluzivní lhůta pro stanovení daně lze prodlužovat, přerušovat a stavět. Děje se tak výhradně na základě ustanovení vztahujících se výslovně ke lhůtě pro stanovení daně. Ohledně těchto uvedených možností pojednávají následující odstavce komentovaného ustanovení. Pro účely těchto ustanovení není rozhodné prosté naplnění textu zákona. </w:t>
      </w:r>
      <w:r w:rsidRPr="00B83FB1">
        <w:rPr>
          <w:rFonts w:ascii="Arial" w:hAnsi="Arial" w:cs="Arial"/>
          <w:b/>
          <w:bCs/>
          <w:i/>
          <w:iCs/>
        </w:rPr>
        <w:t>Lhůta pro stanovení daně je příliš důležitá na to, aby jakýkoliv formální úkon mohl tuto ovlivnit. Vždy je tak třeba posuzovat naplnění podmínek v materiálním smyslu (č. 2527/2012 Sb. NS), tj. zda jsou skutečně dány nejenom formální požadavky, leč také věcné důvody pro to, aby do lhůty pro stanovení daně bylo zasaženo. Za tímto účelem je pak třeba jednotlivé úkony zkoumat ve vztahu k úkonům předchozím</w:t>
      </w:r>
      <w:r w:rsidRPr="00B83FB1">
        <w:rPr>
          <w:rFonts w:ascii="Arial" w:hAnsi="Arial" w:cs="Arial"/>
          <w:i/>
          <w:iCs/>
        </w:rPr>
        <w:t xml:space="preserve"> (č. 2358/2011 Sb. NSS).</w:t>
      </w:r>
      <w:r w:rsidRPr="00B83FB1">
        <w:rPr>
          <w:rFonts w:ascii="Arial" w:hAnsi="Arial" w:cs="Arial"/>
        </w:rPr>
        <w:t>“</w:t>
      </w:r>
    </w:p>
    <w:p w14:paraId="6E968F97" w14:textId="77777777" w:rsidR="00B83FB1" w:rsidRPr="00B83FB1" w:rsidRDefault="00B83FB1" w:rsidP="00B83FB1">
      <w:pPr>
        <w:jc w:val="both"/>
        <w:rPr>
          <w:rFonts w:ascii="Arial" w:hAnsi="Arial" w:cs="Arial"/>
        </w:rPr>
      </w:pPr>
    </w:p>
    <w:p w14:paraId="210F879F" w14:textId="77777777" w:rsidR="00B83FB1" w:rsidRPr="00B83FB1" w:rsidRDefault="00B83FB1" w:rsidP="00B83FB1">
      <w:pPr>
        <w:jc w:val="both"/>
        <w:rPr>
          <w:rFonts w:ascii="Arial" w:hAnsi="Arial" w:cs="Arial"/>
        </w:rPr>
      </w:pPr>
      <w:r w:rsidRPr="00B83FB1">
        <w:rPr>
          <w:rFonts w:ascii="Arial" w:hAnsi="Arial" w:cs="Arial"/>
        </w:rPr>
        <w:t>K samotnému § 148 odst. 2 písm. b) d.ř. potom Lichnovský uvádí, že toto prodloužení lhůty má zajistit dostatečný prostor pro provedení případného odvolacího řízení tam, kde správce daně nebyl schopen ukončit daňovou kontrolu za dobu více než dvou let. V případě konkludentního vyměření podle podaného dodatečného daňového přiznání ovšem podání odvolání nepřipadá v úvahu.</w:t>
      </w:r>
    </w:p>
    <w:p w14:paraId="6BD2AAA9" w14:textId="77777777" w:rsidR="00B83FB1" w:rsidRPr="00B83FB1" w:rsidRDefault="00B83FB1" w:rsidP="00B83FB1">
      <w:pPr>
        <w:jc w:val="both"/>
        <w:rPr>
          <w:rFonts w:ascii="Arial" w:hAnsi="Arial" w:cs="Arial"/>
        </w:rPr>
      </w:pPr>
    </w:p>
    <w:p w14:paraId="0BEA15AD" w14:textId="77777777" w:rsidR="00B83FB1" w:rsidRPr="00B83FB1" w:rsidRDefault="00B83FB1" w:rsidP="00B83FB1">
      <w:pPr>
        <w:jc w:val="both"/>
        <w:rPr>
          <w:rFonts w:ascii="Arial" w:hAnsi="Arial" w:cs="Arial"/>
        </w:rPr>
      </w:pPr>
      <w:r w:rsidRPr="00B83FB1">
        <w:rPr>
          <w:rFonts w:ascii="Arial" w:hAnsi="Arial" w:cs="Arial"/>
        </w:rPr>
        <w:t>Na konkrétní případ odkazuje v komentáři k daňovému řádu Lenka Matyášová. Podle ní je nicméně takový případ sporný a bude předmětem judikatury (viz Matyášová, 2015</w:t>
      </w:r>
      <w:r w:rsidRPr="00B83FB1">
        <w:rPr>
          <w:rStyle w:val="Znakapoznpodarou"/>
          <w:rFonts w:ascii="Arial" w:hAnsi="Arial" w:cs="Arial"/>
        </w:rPr>
        <w:footnoteReference w:id="3"/>
      </w:r>
      <w:r w:rsidRPr="00B83FB1">
        <w:rPr>
          <w:rFonts w:ascii="Arial" w:hAnsi="Arial" w:cs="Arial"/>
        </w:rPr>
        <w:t>):</w:t>
      </w:r>
    </w:p>
    <w:p w14:paraId="2E4E4020" w14:textId="77777777" w:rsidR="00B83FB1" w:rsidRPr="00B83FB1" w:rsidRDefault="00B83FB1" w:rsidP="00B83FB1">
      <w:pPr>
        <w:jc w:val="both"/>
        <w:rPr>
          <w:rFonts w:ascii="Arial" w:hAnsi="Arial" w:cs="Arial"/>
          <w:i/>
          <w:iCs/>
        </w:rPr>
      </w:pPr>
    </w:p>
    <w:p w14:paraId="0AFEE0E6" w14:textId="77777777" w:rsidR="00B83FB1" w:rsidRPr="00B83FB1" w:rsidRDefault="00B83FB1" w:rsidP="00B83FB1">
      <w:pPr>
        <w:jc w:val="both"/>
        <w:rPr>
          <w:rFonts w:ascii="Arial" w:hAnsi="Arial" w:cs="Arial"/>
          <w:i/>
          <w:iCs/>
        </w:rPr>
      </w:pPr>
      <w:r w:rsidRPr="00B83FB1">
        <w:rPr>
          <w:rFonts w:ascii="Arial" w:hAnsi="Arial" w:cs="Arial"/>
          <w:i/>
          <w:iCs/>
        </w:rPr>
        <w:t>„Podle § 148 odst. 2 písm. b) je oznámení rozhodnutí o stanovení daně, pokud se tak stalo v posledních 12 měsících před uplynutím 3leté lhůty pro stanovení daně, úkonem, který lhůtu pro stanovení daně prodlužuje o 1 rok. V případě fikce doručení platebního výměru, kterým byla daň vyměřena je však sporné, zda bylo rozhodnutí oznámeno (byť užitá fikce navozuje vždy stav perfektního rozhodnutí včetně doručení); bude věcí judikatury, jak dané ustanovení ve vztahu k zamýšleným účinkům prodloužení lhůty vyloží.“</w:t>
      </w:r>
    </w:p>
    <w:p w14:paraId="6F067FCA" w14:textId="77777777" w:rsidR="00B83FB1" w:rsidRPr="00B83FB1" w:rsidRDefault="00B83FB1" w:rsidP="00B83FB1">
      <w:pPr>
        <w:jc w:val="both"/>
        <w:rPr>
          <w:rFonts w:ascii="Arial" w:hAnsi="Arial" w:cs="Arial"/>
        </w:rPr>
      </w:pPr>
    </w:p>
    <w:p w14:paraId="676156FA" w14:textId="77777777" w:rsidR="00B83FB1" w:rsidRPr="00B83FB1" w:rsidRDefault="00B83FB1" w:rsidP="00B83FB1">
      <w:pPr>
        <w:jc w:val="both"/>
        <w:rPr>
          <w:rFonts w:ascii="Arial" w:hAnsi="Arial" w:cs="Arial"/>
        </w:rPr>
      </w:pPr>
      <w:r w:rsidRPr="00B83FB1">
        <w:rPr>
          <w:rFonts w:ascii="Arial" w:hAnsi="Arial" w:cs="Arial"/>
        </w:rPr>
        <w:t>Komentář následně odkazuje na nález Ústavního soudu sp. zn. II. ÚS 493/05:</w:t>
      </w:r>
    </w:p>
    <w:p w14:paraId="1C52928F" w14:textId="77777777" w:rsidR="00B83FB1" w:rsidRPr="00B83FB1" w:rsidRDefault="00B83FB1" w:rsidP="00B83FB1">
      <w:pPr>
        <w:jc w:val="both"/>
        <w:rPr>
          <w:rFonts w:ascii="Arial" w:hAnsi="Arial" w:cs="Arial"/>
          <w:i/>
          <w:iCs/>
        </w:rPr>
      </w:pPr>
    </w:p>
    <w:p w14:paraId="26CD3458" w14:textId="77777777" w:rsidR="00B83FB1" w:rsidRPr="00B83FB1" w:rsidRDefault="00B83FB1" w:rsidP="00B83FB1">
      <w:pPr>
        <w:jc w:val="both"/>
        <w:rPr>
          <w:rFonts w:ascii="Arial" w:hAnsi="Arial" w:cs="Arial"/>
          <w:i/>
          <w:iCs/>
        </w:rPr>
      </w:pPr>
      <w:r w:rsidRPr="00B83FB1">
        <w:rPr>
          <w:rFonts w:ascii="Arial" w:hAnsi="Arial" w:cs="Arial"/>
          <w:i/>
          <w:iCs/>
        </w:rPr>
        <w:t xml:space="preserve">"Pokud správce daně vyměřil daň dle § 46 odst. 5 zákona o správě daní a poplatků konkludentně, a pokud daňový subjekt o této skutečnosti nebyl zpraven ve smyslu </w:t>
      </w:r>
      <w:r w:rsidRPr="00B83FB1">
        <w:rPr>
          <w:rFonts w:ascii="Arial" w:hAnsi="Arial" w:cs="Arial"/>
          <w:i/>
          <w:iCs/>
        </w:rPr>
        <w:br/>
        <w:t>§ 47 odst. 2 cit. zákona nelze takovéto konkludentní vyměření daně považovat za úkon, jenž by mohl případně směřovat k vyměření daně; takovýto úkon nemůže způsobit přerušení lhůty k vyměření či doměření daně dle § 47 odst. 1 cit. zákona."</w:t>
      </w:r>
    </w:p>
    <w:p w14:paraId="295DD6E2" w14:textId="77777777" w:rsidR="00B83FB1" w:rsidRPr="00B83FB1" w:rsidRDefault="00B83FB1" w:rsidP="00B83FB1">
      <w:pPr>
        <w:jc w:val="both"/>
        <w:rPr>
          <w:rFonts w:ascii="Arial" w:hAnsi="Arial" w:cs="Arial"/>
        </w:rPr>
      </w:pPr>
    </w:p>
    <w:p w14:paraId="10095773" w14:textId="77777777" w:rsidR="00B83FB1" w:rsidRPr="00B83FB1" w:rsidRDefault="00B83FB1" w:rsidP="00B83FB1">
      <w:pPr>
        <w:jc w:val="both"/>
        <w:rPr>
          <w:rFonts w:ascii="Arial" w:hAnsi="Arial" w:cs="Arial"/>
        </w:rPr>
      </w:pPr>
      <w:r w:rsidRPr="00B83FB1">
        <w:rPr>
          <w:rFonts w:ascii="Arial" w:hAnsi="Arial" w:cs="Arial"/>
        </w:rPr>
        <w:lastRenderedPageBreak/>
        <w:t xml:space="preserve">Z právního názoru Ústavního soudu je patrné, že úkon, kterým správce daně v souladu s § 144 odst. 1 DŘ založí dodatečný platební výměr do spisu, by neměl být považován za úkon, kterým by došlo k „oznámení rozhodnutí o stanovení daně“ ve smyslu § 148 odst. 1 písm. b) DŘ, a tedy by neměl mít vliv na běh lhůty. Ačkoliv se uvedený nález vztahuje k předchozí právní úpravě, tedy k zákonu o správě daní a poplatků, lze ho dle autorů příspěvku bez dalšího použít i ve vztahu k DŘ. </w:t>
      </w:r>
    </w:p>
    <w:p w14:paraId="516C84DC" w14:textId="77777777" w:rsidR="00B83FB1" w:rsidRPr="00B83FB1" w:rsidRDefault="00B83FB1" w:rsidP="00B83FB1">
      <w:pPr>
        <w:jc w:val="both"/>
        <w:rPr>
          <w:rFonts w:ascii="Arial" w:hAnsi="Arial" w:cs="Arial"/>
        </w:rPr>
      </w:pPr>
    </w:p>
    <w:p w14:paraId="4B31BA99" w14:textId="77777777" w:rsidR="00B83FB1" w:rsidRPr="00B83FB1" w:rsidRDefault="00B83FB1" w:rsidP="00B83FB1">
      <w:pPr>
        <w:jc w:val="both"/>
        <w:rPr>
          <w:rFonts w:ascii="Arial" w:hAnsi="Arial" w:cs="Arial"/>
        </w:rPr>
      </w:pPr>
      <w:r w:rsidRPr="00B83FB1">
        <w:rPr>
          <w:rFonts w:ascii="Arial" w:hAnsi="Arial" w:cs="Arial"/>
        </w:rPr>
        <w:t>Jestliže se zaměříme na další renomované komentáře přímo k § 148, odst. 2, písm. b) DŘ (viz Baxa, 2011</w:t>
      </w:r>
      <w:r w:rsidRPr="00B83FB1">
        <w:rPr>
          <w:rStyle w:val="Znakapoznpodarou"/>
          <w:rFonts w:ascii="Arial" w:hAnsi="Arial" w:cs="Arial"/>
        </w:rPr>
        <w:footnoteReference w:id="4"/>
      </w:r>
      <w:r w:rsidRPr="00B83FB1">
        <w:rPr>
          <w:rFonts w:ascii="Arial" w:hAnsi="Arial" w:cs="Arial"/>
        </w:rPr>
        <w:t xml:space="preserve"> nebo Alexa, 2013</w:t>
      </w:r>
      <w:r w:rsidRPr="00B83FB1">
        <w:rPr>
          <w:rStyle w:val="Znakapoznpodarou"/>
          <w:rFonts w:ascii="Arial" w:hAnsi="Arial" w:cs="Arial"/>
        </w:rPr>
        <w:footnoteReference w:id="5"/>
      </w:r>
      <w:r w:rsidRPr="00B83FB1">
        <w:rPr>
          <w:rFonts w:ascii="Arial" w:hAnsi="Arial" w:cs="Arial"/>
        </w:rPr>
        <w:t xml:space="preserve">), pak se oba v souvislosti s prodloužením lhůty dle tohoto písmene odkazují přímo na ust. § 101 odst. 6 DŘ. </w:t>
      </w:r>
    </w:p>
    <w:p w14:paraId="4DD04EC8" w14:textId="77777777" w:rsidR="00B83FB1" w:rsidRPr="00B83FB1" w:rsidRDefault="00B83FB1" w:rsidP="00B83FB1">
      <w:pPr>
        <w:jc w:val="both"/>
        <w:rPr>
          <w:rFonts w:ascii="Arial" w:hAnsi="Arial" w:cs="Arial"/>
        </w:rPr>
      </w:pPr>
    </w:p>
    <w:p w14:paraId="4B6B2845" w14:textId="77777777" w:rsidR="00B83FB1" w:rsidRPr="00B83FB1" w:rsidRDefault="00B83FB1" w:rsidP="00B83FB1">
      <w:pPr>
        <w:jc w:val="both"/>
        <w:rPr>
          <w:rFonts w:ascii="Arial" w:hAnsi="Arial" w:cs="Arial"/>
        </w:rPr>
      </w:pPr>
      <w:r w:rsidRPr="00B83FB1">
        <w:rPr>
          <w:rFonts w:ascii="Arial" w:hAnsi="Arial" w:cs="Arial"/>
        </w:rPr>
        <w:t>Pro další rozbor je tedy zásadní vyjít ze záměru zákonodárce a zjistit, zda je jeho záměrem považovat doručení rozhodnutí fikcí za „oznámení rozhodnutí“.</w:t>
      </w:r>
    </w:p>
    <w:p w14:paraId="68F4C232" w14:textId="77777777" w:rsidR="00B83FB1" w:rsidRPr="00B83FB1" w:rsidRDefault="00B83FB1" w:rsidP="00B83FB1">
      <w:pPr>
        <w:jc w:val="both"/>
        <w:rPr>
          <w:rFonts w:ascii="Arial" w:hAnsi="Arial" w:cs="Arial"/>
        </w:rPr>
      </w:pPr>
    </w:p>
    <w:p w14:paraId="10CADDEB" w14:textId="77777777" w:rsidR="00B83FB1" w:rsidRPr="00B83FB1" w:rsidRDefault="00B83FB1" w:rsidP="00B83FB1">
      <w:pPr>
        <w:jc w:val="both"/>
        <w:rPr>
          <w:rFonts w:ascii="Arial" w:hAnsi="Arial" w:cs="Arial"/>
        </w:rPr>
      </w:pPr>
      <w:r w:rsidRPr="00B83FB1">
        <w:rPr>
          <w:rFonts w:ascii="Arial" w:hAnsi="Arial" w:cs="Arial"/>
        </w:rPr>
        <w:t>Z důvodové zprávy k § 101 DŘ vyplývá, že v odst. 6 je:</w:t>
      </w:r>
    </w:p>
    <w:p w14:paraId="51B04D79" w14:textId="77777777" w:rsidR="00B83FB1" w:rsidRPr="00B83FB1" w:rsidRDefault="00B83FB1" w:rsidP="00B83FB1">
      <w:pPr>
        <w:jc w:val="both"/>
        <w:rPr>
          <w:rFonts w:ascii="Arial" w:hAnsi="Arial" w:cs="Arial"/>
          <w:i/>
          <w:iCs/>
        </w:rPr>
      </w:pPr>
    </w:p>
    <w:p w14:paraId="7398F146" w14:textId="77777777" w:rsidR="00B83FB1" w:rsidRPr="00B83FB1" w:rsidRDefault="00B83FB1" w:rsidP="00B83FB1">
      <w:pPr>
        <w:jc w:val="both"/>
        <w:rPr>
          <w:rFonts w:ascii="Arial" w:hAnsi="Arial" w:cs="Arial"/>
        </w:rPr>
      </w:pPr>
      <w:r w:rsidRPr="00B83FB1">
        <w:rPr>
          <w:rFonts w:ascii="Arial" w:hAnsi="Arial" w:cs="Arial"/>
          <w:i/>
          <w:iCs/>
        </w:rPr>
        <w:t xml:space="preserve">„stanoven okamžik účinnosti rozhodnutí, tj. doručením tohoto rozhodnutí či okamžikem, kdy je s ním příjemce seznámen jiným způsobem, o němž je pořízen protokol (např. při nahlížení do spisu). Tyto dva způsoby seznámení se s rozhodnutím se označují společným pojmem oznámení rozhodnutí, přičemž v určitých případech </w:t>
      </w:r>
      <w:r w:rsidRPr="00B83FB1">
        <w:rPr>
          <w:rFonts w:ascii="Arial" w:hAnsi="Arial" w:cs="Arial"/>
          <w:b/>
          <w:bCs/>
          <w:i/>
          <w:iCs/>
        </w:rPr>
        <w:t xml:space="preserve">navrhovaná právní úprava používá užší pojem doručení </w:t>
      </w:r>
      <w:r w:rsidRPr="00B83FB1">
        <w:rPr>
          <w:rFonts w:ascii="Arial" w:hAnsi="Arial" w:cs="Arial"/>
          <w:i/>
          <w:iCs/>
        </w:rPr>
        <w:t xml:space="preserve">(např. určení počátku běhu lhůty pro odvolání), </w:t>
      </w:r>
      <w:r w:rsidRPr="00B83FB1">
        <w:rPr>
          <w:rFonts w:ascii="Arial" w:hAnsi="Arial" w:cs="Arial"/>
          <w:b/>
          <w:bCs/>
          <w:i/>
          <w:iCs/>
        </w:rPr>
        <w:t>který příjemci rozhodnutí zaručuje dostatečnou právní jistotu, že bude s obsahem rozhodnutí seznámen</w:t>
      </w:r>
      <w:r w:rsidRPr="00B83FB1">
        <w:rPr>
          <w:rFonts w:ascii="Arial" w:hAnsi="Arial" w:cs="Arial"/>
        </w:rPr>
        <w:t xml:space="preserve">“. </w:t>
      </w:r>
    </w:p>
    <w:p w14:paraId="4D6CEDDC" w14:textId="77777777" w:rsidR="00B83FB1" w:rsidRPr="00B83FB1" w:rsidRDefault="00B83FB1" w:rsidP="00B83FB1">
      <w:pPr>
        <w:jc w:val="both"/>
        <w:rPr>
          <w:rFonts w:ascii="Arial" w:hAnsi="Arial" w:cs="Arial"/>
        </w:rPr>
      </w:pPr>
    </w:p>
    <w:p w14:paraId="66EDEC42" w14:textId="77777777" w:rsidR="00B83FB1" w:rsidRPr="00B83FB1" w:rsidRDefault="00B83FB1" w:rsidP="00B83FB1">
      <w:pPr>
        <w:jc w:val="both"/>
        <w:rPr>
          <w:rFonts w:ascii="Arial" w:hAnsi="Arial" w:cs="Arial"/>
        </w:rPr>
      </w:pPr>
      <w:r w:rsidRPr="00B83FB1">
        <w:rPr>
          <w:rFonts w:ascii="Arial" w:hAnsi="Arial" w:cs="Arial"/>
        </w:rPr>
        <w:t>Z důvodové zprávy je tedy patrné, že „oznámením rozhodnutí“ se rozumí úkon, na základě kterého je dostatečně jisté, že byl daňový subjekt s obsahem rozhodnutí seznámen. Doručení fikcí však takovou dostatečnou právní jistotu dle autorů příspěvku nenabízí. Ke stejnému závěru dochází v komentáři k § 101, odst. 6 DŘ rovněž Josef Baxa a kol. (viz Baxa, 2011</w:t>
      </w:r>
      <w:r w:rsidRPr="00B83FB1">
        <w:rPr>
          <w:rStyle w:val="Znakapoznpodarou"/>
          <w:rFonts w:ascii="Arial" w:hAnsi="Arial" w:cs="Arial"/>
        </w:rPr>
        <w:footnoteReference w:id="6"/>
      </w:r>
      <w:r w:rsidRPr="00B83FB1">
        <w:rPr>
          <w:rFonts w:ascii="Arial" w:hAnsi="Arial" w:cs="Arial"/>
        </w:rPr>
        <w:t xml:space="preserve">): </w:t>
      </w:r>
    </w:p>
    <w:p w14:paraId="508D89ED" w14:textId="77777777" w:rsidR="00B83FB1" w:rsidRPr="00B83FB1" w:rsidRDefault="00B83FB1" w:rsidP="00B83FB1">
      <w:pPr>
        <w:jc w:val="both"/>
        <w:rPr>
          <w:rFonts w:ascii="Arial" w:hAnsi="Arial" w:cs="Arial"/>
          <w:i/>
          <w:iCs/>
        </w:rPr>
      </w:pPr>
    </w:p>
    <w:p w14:paraId="60F11CCA" w14:textId="77777777" w:rsidR="00B83FB1" w:rsidRPr="00B83FB1" w:rsidRDefault="00B83FB1" w:rsidP="00B83FB1">
      <w:pPr>
        <w:jc w:val="both"/>
        <w:rPr>
          <w:rFonts w:ascii="Arial" w:hAnsi="Arial" w:cs="Arial"/>
          <w:i/>
          <w:iCs/>
        </w:rPr>
      </w:pPr>
      <w:r w:rsidRPr="00B83FB1">
        <w:rPr>
          <w:rFonts w:ascii="Arial" w:hAnsi="Arial" w:cs="Arial"/>
          <w:i/>
          <w:iCs/>
        </w:rPr>
        <w:t xml:space="preserve">„Toto ustanovení definuje oznámení rozhodnutí pro celý zákon a další daňové zákony. Preferovaný způsob oznámení je doručení rozhodnutí. Rozumí se doručení stejnopisu písemného vyhotovení jeho příjemci s předpokladem, že jej převezme a seznámí se s jeho obsahem. </w:t>
      </w:r>
      <w:r w:rsidRPr="00B83FB1">
        <w:rPr>
          <w:rFonts w:ascii="Arial" w:hAnsi="Arial" w:cs="Arial"/>
          <w:b/>
          <w:bCs/>
          <w:i/>
          <w:iCs/>
        </w:rPr>
        <w:t>Tento předpoklad nebude naplněn, bude-li doručeno fikcí.</w:t>
      </w:r>
      <w:r w:rsidRPr="00B83FB1">
        <w:rPr>
          <w:rFonts w:ascii="Arial" w:hAnsi="Arial" w:cs="Arial"/>
          <w:i/>
          <w:iCs/>
        </w:rPr>
        <w:t>“</w:t>
      </w:r>
    </w:p>
    <w:p w14:paraId="1CEA6D77" w14:textId="77777777" w:rsidR="00B83FB1" w:rsidRPr="00B83FB1" w:rsidRDefault="00B83FB1" w:rsidP="00B83FB1">
      <w:pPr>
        <w:jc w:val="both"/>
        <w:rPr>
          <w:rFonts w:ascii="Arial" w:hAnsi="Arial" w:cs="Arial"/>
        </w:rPr>
      </w:pPr>
    </w:p>
    <w:p w14:paraId="68764046" w14:textId="77777777" w:rsidR="00B83FB1" w:rsidRPr="00B83FB1" w:rsidRDefault="00B83FB1" w:rsidP="00B83FB1">
      <w:pPr>
        <w:jc w:val="both"/>
        <w:rPr>
          <w:rFonts w:ascii="Arial" w:hAnsi="Arial" w:cs="Arial"/>
        </w:rPr>
      </w:pPr>
      <w:r w:rsidRPr="00B83FB1">
        <w:rPr>
          <w:rFonts w:ascii="Arial" w:hAnsi="Arial" w:cs="Arial"/>
        </w:rPr>
        <w:t xml:space="preserve">Pokud by byla přijata myšlenka, že doručení rozhodnutí fikcí je možno považovat za úkon </w:t>
      </w:r>
      <w:r w:rsidRPr="00B83FB1">
        <w:rPr>
          <w:rFonts w:ascii="Arial" w:hAnsi="Arial" w:cs="Arial"/>
          <w:shd w:val="clear" w:color="auto" w:fill="FFFFFF"/>
        </w:rPr>
        <w:t xml:space="preserve">„oznámení rozhodnutí o stanovení daně“, který by způsobil prodloužení lhůty o další rok dle § 148 odst. 2 písm. b) DŘ, </w:t>
      </w:r>
      <w:r w:rsidRPr="00B83FB1">
        <w:rPr>
          <w:rFonts w:ascii="Arial" w:hAnsi="Arial" w:cs="Arial"/>
        </w:rPr>
        <w:t xml:space="preserve">pak by se dle autorů příspěvku jednalo nejen o nepřiměřený zásah do právní jistoty daňových subjektů, ale současně o výklad, který by byl v kontextu důvodové zprávy v rozporu se záměrem zákonodárce. </w:t>
      </w:r>
    </w:p>
    <w:p w14:paraId="1B8CB9AA" w14:textId="77777777" w:rsidR="00B83FB1" w:rsidRPr="00B83FB1" w:rsidRDefault="00B83FB1" w:rsidP="00B83FB1">
      <w:pPr>
        <w:jc w:val="both"/>
        <w:rPr>
          <w:rFonts w:ascii="Arial" w:hAnsi="Arial" w:cs="Arial"/>
        </w:rPr>
      </w:pPr>
    </w:p>
    <w:p w14:paraId="00BB6862" w14:textId="77777777" w:rsidR="00B83FB1" w:rsidRPr="00B83FB1" w:rsidRDefault="00B83FB1" w:rsidP="00B83FB1">
      <w:pPr>
        <w:jc w:val="both"/>
        <w:rPr>
          <w:rFonts w:ascii="Arial" w:hAnsi="Arial" w:cs="Arial"/>
        </w:rPr>
      </w:pPr>
      <w:r w:rsidRPr="00B83FB1">
        <w:rPr>
          <w:rFonts w:ascii="Arial" w:hAnsi="Arial" w:cs="Arial"/>
        </w:rPr>
        <w:t xml:space="preserve">Podáním DODAP se výše daně sice změní, nicméně pro řádný výkon správy je správci daně dán dostatečný prostor již prodloužením lhůty dle § 148 odst. 2 písm. a) DŘ. </w:t>
      </w:r>
    </w:p>
    <w:p w14:paraId="30A01EDE" w14:textId="77777777" w:rsidR="00B83FB1" w:rsidRPr="00B83FB1" w:rsidRDefault="00B83FB1" w:rsidP="00B83FB1">
      <w:pPr>
        <w:jc w:val="both"/>
        <w:rPr>
          <w:rFonts w:ascii="Arial" w:hAnsi="Arial" w:cs="Arial"/>
        </w:rPr>
      </w:pPr>
    </w:p>
    <w:p w14:paraId="09CCE506" w14:textId="77777777" w:rsidR="00B83FB1" w:rsidRPr="00B83FB1" w:rsidRDefault="00B83FB1" w:rsidP="00B83FB1">
      <w:pPr>
        <w:jc w:val="both"/>
        <w:rPr>
          <w:rFonts w:ascii="Arial" w:hAnsi="Arial" w:cs="Arial"/>
        </w:rPr>
      </w:pPr>
      <w:r w:rsidRPr="00B83FB1">
        <w:rPr>
          <w:rFonts w:ascii="Arial" w:hAnsi="Arial" w:cs="Arial"/>
        </w:rPr>
        <w:t xml:space="preserve">Dle důvodové zprávy k § 148 DŘ je cílem odst. 2 stanovit </w:t>
      </w:r>
    </w:p>
    <w:p w14:paraId="147AC2E7" w14:textId="77777777" w:rsidR="00B83FB1" w:rsidRPr="00B83FB1" w:rsidRDefault="00B83FB1" w:rsidP="00B83FB1">
      <w:pPr>
        <w:jc w:val="both"/>
        <w:rPr>
          <w:rFonts w:ascii="Arial" w:hAnsi="Arial" w:cs="Arial"/>
          <w:i/>
          <w:iCs/>
        </w:rPr>
      </w:pPr>
      <w:r w:rsidRPr="00B83FB1">
        <w:rPr>
          <w:rFonts w:ascii="Arial" w:hAnsi="Arial" w:cs="Arial"/>
          <w:i/>
          <w:iCs/>
        </w:rPr>
        <w:t>„taxativní výčet úkonů ze strany správce daně nebo daňového subjektu, které přerušují nebo prodlužují běh tříleté lhůty. Cílem je vytvoření dostatečného prostoru na obou stranách pro nalezení věcně i právně správně zjištěné a stanovené daně. Vzhledem k aktuální judikatuře se navrhuje řešení, které zohlední snahu o omezení možnosti prodloužení běhu lhůty pro stanovení daně, ale současně ještě umožní jak řádný výkon správy daní, tak i využití všech prostředků ochrany práv daňových subjektů.“</w:t>
      </w:r>
    </w:p>
    <w:p w14:paraId="4493DE17" w14:textId="77777777" w:rsidR="00B83FB1" w:rsidRPr="00B83FB1" w:rsidRDefault="00B83FB1" w:rsidP="00B83FB1">
      <w:pPr>
        <w:jc w:val="both"/>
        <w:rPr>
          <w:rFonts w:ascii="Arial" w:hAnsi="Arial" w:cs="Arial"/>
        </w:rPr>
      </w:pPr>
    </w:p>
    <w:p w14:paraId="77BBE318" w14:textId="77777777" w:rsidR="00B83FB1" w:rsidRPr="00B83FB1" w:rsidRDefault="00B83FB1" w:rsidP="00B83FB1">
      <w:pPr>
        <w:jc w:val="both"/>
        <w:rPr>
          <w:rFonts w:ascii="Arial" w:hAnsi="Arial" w:cs="Arial"/>
        </w:rPr>
      </w:pPr>
      <w:r w:rsidRPr="00B83FB1">
        <w:rPr>
          <w:rFonts w:ascii="Arial" w:hAnsi="Arial" w:cs="Arial"/>
        </w:rPr>
        <w:t>Pro takový výklad, kdy by pouhé založení konkludentního platebního výměru do spisu postupem dle § 144 odst. 1 DŘ a jeho následným doručením fikcí, došlo k prodloužení lhůty pro stanovení daně o rok dle § 148, odst. 2, písm. b) DŘ nelze nalézt oporu ani v důvodových zprávách k příslušným ustanovením (konkrétně k § 101 a § 148 DŘ) ani ve zmíněných komentářích, ani v dostupné judikatuře.</w:t>
      </w:r>
    </w:p>
    <w:p w14:paraId="7E0403DB" w14:textId="77777777" w:rsidR="00B83FB1" w:rsidRPr="00B83FB1" w:rsidRDefault="00B83FB1" w:rsidP="00B83FB1">
      <w:pPr>
        <w:rPr>
          <w:rFonts w:ascii="Arial" w:hAnsi="Arial" w:cs="Arial"/>
          <w:b/>
          <w:bCs/>
        </w:rPr>
      </w:pPr>
    </w:p>
    <w:p w14:paraId="7B14D760" w14:textId="77777777" w:rsidR="00B83FB1" w:rsidRPr="00B83FB1" w:rsidRDefault="00B83FB1" w:rsidP="00B83FB1">
      <w:pPr>
        <w:rPr>
          <w:rFonts w:ascii="Arial" w:hAnsi="Arial" w:cs="Arial"/>
          <w:b/>
          <w:bCs/>
        </w:rPr>
      </w:pPr>
      <w:r w:rsidRPr="00B83FB1">
        <w:rPr>
          <w:rFonts w:ascii="Arial" w:hAnsi="Arial" w:cs="Arial"/>
          <w:b/>
          <w:bCs/>
        </w:rPr>
        <w:t xml:space="preserve">Závěr k prodloužení lhůty pro stanovení daně bez zahájení PoP nebo DK </w:t>
      </w:r>
    </w:p>
    <w:p w14:paraId="69977097" w14:textId="77777777" w:rsidR="00B83FB1" w:rsidRPr="00B83FB1" w:rsidRDefault="00B83FB1" w:rsidP="00B83FB1">
      <w:pPr>
        <w:jc w:val="both"/>
        <w:rPr>
          <w:rFonts w:ascii="Arial" w:hAnsi="Arial" w:cs="Arial"/>
        </w:rPr>
      </w:pPr>
    </w:p>
    <w:p w14:paraId="71C72E4A" w14:textId="77777777" w:rsidR="00B83FB1" w:rsidRPr="00B83FB1" w:rsidRDefault="00B83FB1" w:rsidP="00B83FB1">
      <w:pPr>
        <w:jc w:val="both"/>
        <w:rPr>
          <w:rFonts w:ascii="Arial" w:hAnsi="Arial" w:cs="Arial"/>
        </w:rPr>
      </w:pPr>
      <w:r w:rsidRPr="00B83FB1">
        <w:rPr>
          <w:rFonts w:ascii="Arial" w:hAnsi="Arial" w:cs="Arial"/>
        </w:rPr>
        <w:t>Ze záměru zákonodárce, který je uveden v důvodových zprávách, souvisejících komentářů a v kontextu citovaného nálezu Ústavního soudu navrhujeme přijmout tento sjednocující závěr:</w:t>
      </w:r>
    </w:p>
    <w:p w14:paraId="0147BA22" w14:textId="77777777" w:rsidR="00B83FB1" w:rsidRPr="00B83FB1" w:rsidRDefault="00B83FB1" w:rsidP="00B83FB1">
      <w:pPr>
        <w:jc w:val="both"/>
        <w:rPr>
          <w:rFonts w:ascii="Arial" w:hAnsi="Arial" w:cs="Arial"/>
        </w:rPr>
      </w:pPr>
    </w:p>
    <w:p w14:paraId="37BC5789" w14:textId="77777777" w:rsidR="00B83FB1" w:rsidRDefault="00B83FB1" w:rsidP="00B83FB1">
      <w:pPr>
        <w:jc w:val="both"/>
        <w:rPr>
          <w:rFonts w:ascii="Arial" w:hAnsi="Arial" w:cs="Arial"/>
        </w:rPr>
      </w:pPr>
      <w:r w:rsidRPr="00B83FB1">
        <w:rPr>
          <w:rFonts w:ascii="Arial" w:hAnsi="Arial" w:cs="Arial"/>
        </w:rPr>
        <w:t>Pokud je daň stanovena na základě dodatečného daňového tvrzení podaného daňovým subjektem konkludentně, kdy správce daně využije postup dle § 144 odst. 1 DŘ, následně založí platební výměr do spisu, což má za následek doručen fikcí dle § 144 odst. 2 DŘ, nelze tento úkon považovat za úkon „</w:t>
      </w:r>
      <w:r w:rsidRPr="00B83FB1">
        <w:rPr>
          <w:rFonts w:ascii="Arial" w:hAnsi="Arial" w:cs="Arial"/>
          <w:shd w:val="clear" w:color="auto" w:fill="FFFFFF"/>
        </w:rPr>
        <w:t>oznámení rozhodnutí o stanovení daně“, který prodlužuje</w:t>
      </w:r>
      <w:r w:rsidRPr="00B83FB1">
        <w:rPr>
          <w:rFonts w:ascii="Arial" w:hAnsi="Arial" w:cs="Arial"/>
        </w:rPr>
        <w:t xml:space="preserve"> lhůtu pro stanovení daně dle § 148, odst. 2, písm. b) DŘ o jeden rok, pokud k němu došlo v posledních 12 měsících před uplynutím dosavadní lhůty pro stanovení daně.</w:t>
      </w:r>
    </w:p>
    <w:p w14:paraId="7145F657" w14:textId="77777777" w:rsidR="00FB45AC" w:rsidRDefault="00FB45AC" w:rsidP="00B83FB1">
      <w:pPr>
        <w:jc w:val="both"/>
        <w:rPr>
          <w:rFonts w:ascii="Arial" w:hAnsi="Arial" w:cs="Arial"/>
        </w:rPr>
      </w:pPr>
    </w:p>
    <w:p w14:paraId="6F1C1D9F" w14:textId="77777777" w:rsidR="00FB45AC" w:rsidRDefault="00FB45AC" w:rsidP="00B83FB1">
      <w:pPr>
        <w:jc w:val="both"/>
        <w:rPr>
          <w:rFonts w:ascii="Arial" w:hAnsi="Arial" w:cs="Arial"/>
        </w:rPr>
      </w:pPr>
    </w:p>
    <w:p w14:paraId="7B093805" w14:textId="77777777" w:rsidR="00FB45AC" w:rsidRPr="00793CC2" w:rsidRDefault="00FB45AC" w:rsidP="00FB45AC">
      <w:pPr>
        <w:jc w:val="both"/>
        <w:rPr>
          <w:rFonts w:ascii="Arial" w:hAnsi="Arial" w:cs="Arial"/>
          <w:b/>
          <w:bCs/>
          <w:i/>
          <w:iCs/>
          <w:noProof w:val="0"/>
          <w:u w:val="single"/>
        </w:rPr>
      </w:pPr>
      <w:r w:rsidRPr="00793CC2">
        <w:rPr>
          <w:rFonts w:ascii="Arial" w:hAnsi="Arial" w:cs="Arial"/>
          <w:b/>
          <w:bCs/>
          <w:i/>
          <w:iCs/>
          <w:noProof w:val="0"/>
          <w:u w:val="single"/>
        </w:rPr>
        <w:t>Stanovisko GFŘ:</w:t>
      </w:r>
    </w:p>
    <w:p w14:paraId="2BB7177F" w14:textId="77777777" w:rsidR="00FB45AC" w:rsidRPr="00793CC2" w:rsidRDefault="00FB45AC" w:rsidP="00FB45AC">
      <w:pPr>
        <w:jc w:val="both"/>
        <w:rPr>
          <w:rFonts w:ascii="Arial" w:hAnsi="Arial" w:cs="Arial"/>
          <w:b/>
          <w:bCs/>
          <w:i/>
          <w:iCs/>
          <w:noProof w:val="0"/>
          <w:u w:val="single"/>
        </w:rPr>
      </w:pPr>
    </w:p>
    <w:p w14:paraId="2A0D2A65" w14:textId="4B452160" w:rsidR="00FB45AC" w:rsidRPr="00793CC2" w:rsidRDefault="00FB45AC" w:rsidP="00FB45AC">
      <w:pPr>
        <w:jc w:val="both"/>
        <w:rPr>
          <w:rFonts w:ascii="Arial" w:hAnsi="Arial" w:cs="Arial"/>
          <w:i/>
          <w:iCs/>
          <w:noProof w:val="0"/>
        </w:rPr>
      </w:pPr>
      <w:r w:rsidRPr="00793CC2">
        <w:rPr>
          <w:rFonts w:ascii="Arial" w:hAnsi="Arial" w:cs="Arial"/>
          <w:i/>
          <w:iCs/>
          <w:noProof w:val="0"/>
        </w:rPr>
        <w:t>Nesouhlas</w:t>
      </w:r>
      <w:r w:rsidR="001A1EE7" w:rsidRPr="00793CC2">
        <w:rPr>
          <w:rFonts w:ascii="Arial" w:hAnsi="Arial" w:cs="Arial"/>
          <w:i/>
          <w:iCs/>
          <w:noProof w:val="0"/>
        </w:rPr>
        <w:t>íme</w:t>
      </w:r>
      <w:r w:rsidRPr="00793CC2">
        <w:rPr>
          <w:rFonts w:ascii="Arial" w:hAnsi="Arial" w:cs="Arial"/>
          <w:i/>
          <w:iCs/>
          <w:noProof w:val="0"/>
        </w:rPr>
        <w:t xml:space="preserve"> se závěrem předkladatele.</w:t>
      </w:r>
      <w:r w:rsidR="001A1EE7" w:rsidRPr="00793CC2">
        <w:rPr>
          <w:rFonts w:ascii="Arial" w:hAnsi="Arial" w:cs="Arial"/>
          <w:i/>
          <w:iCs/>
          <w:noProof w:val="0"/>
        </w:rPr>
        <w:t xml:space="preserve"> Máme za to, že konkludentní rozh</w:t>
      </w:r>
      <w:r w:rsidR="0058118F" w:rsidRPr="00793CC2">
        <w:rPr>
          <w:rFonts w:ascii="Arial" w:hAnsi="Arial" w:cs="Arial"/>
          <w:i/>
          <w:iCs/>
          <w:noProof w:val="0"/>
        </w:rPr>
        <w:t>o</w:t>
      </w:r>
      <w:r w:rsidR="001A1EE7" w:rsidRPr="00793CC2">
        <w:rPr>
          <w:rFonts w:ascii="Arial" w:hAnsi="Arial" w:cs="Arial"/>
          <w:i/>
          <w:iCs/>
          <w:noProof w:val="0"/>
        </w:rPr>
        <w:t xml:space="preserve">dnutí </w:t>
      </w:r>
      <w:r w:rsidR="00AC7D53" w:rsidRPr="00793CC2">
        <w:rPr>
          <w:rFonts w:ascii="Arial" w:hAnsi="Arial" w:cs="Arial"/>
          <w:i/>
          <w:iCs/>
          <w:noProof w:val="0"/>
        </w:rPr>
        <w:t>o </w:t>
      </w:r>
      <w:r w:rsidR="0058118F" w:rsidRPr="00793CC2">
        <w:rPr>
          <w:rFonts w:ascii="Arial" w:hAnsi="Arial" w:cs="Arial"/>
          <w:i/>
          <w:iCs/>
          <w:noProof w:val="0"/>
        </w:rPr>
        <w:t xml:space="preserve">stanovení </w:t>
      </w:r>
      <w:r w:rsidR="001A1EE7" w:rsidRPr="00793CC2">
        <w:rPr>
          <w:rFonts w:ascii="Arial" w:hAnsi="Arial" w:cs="Arial"/>
          <w:i/>
          <w:iCs/>
          <w:noProof w:val="0"/>
        </w:rPr>
        <w:t xml:space="preserve">daně </w:t>
      </w:r>
      <w:r w:rsidR="00AF3A95" w:rsidRPr="00793CC2">
        <w:rPr>
          <w:rFonts w:ascii="Arial" w:hAnsi="Arial" w:cs="Arial"/>
          <w:i/>
          <w:iCs/>
          <w:noProof w:val="0"/>
        </w:rPr>
        <w:t>prodlužuje</w:t>
      </w:r>
      <w:r w:rsidR="001A1EE7" w:rsidRPr="00793CC2">
        <w:rPr>
          <w:rFonts w:ascii="Arial" w:hAnsi="Arial" w:cs="Arial"/>
          <w:i/>
          <w:iCs/>
          <w:noProof w:val="0"/>
        </w:rPr>
        <w:t xml:space="preserve"> lhůtu pro stanovení daně dle §</w:t>
      </w:r>
      <w:r w:rsidR="00AF3A95" w:rsidRPr="00793CC2">
        <w:rPr>
          <w:rFonts w:ascii="Arial" w:hAnsi="Arial" w:cs="Arial"/>
          <w:i/>
          <w:iCs/>
          <w:noProof w:val="0"/>
        </w:rPr>
        <w:t> </w:t>
      </w:r>
      <w:r w:rsidR="001A1EE7" w:rsidRPr="00793CC2">
        <w:rPr>
          <w:rFonts w:ascii="Arial" w:hAnsi="Arial" w:cs="Arial"/>
          <w:i/>
          <w:iCs/>
          <w:noProof w:val="0"/>
        </w:rPr>
        <w:t>148 odst. 2 písm. b) DŘ</w:t>
      </w:r>
      <w:r w:rsidR="0058118F" w:rsidRPr="00793CC2">
        <w:rPr>
          <w:rFonts w:ascii="Arial" w:hAnsi="Arial" w:cs="Arial"/>
          <w:i/>
          <w:iCs/>
          <w:noProof w:val="0"/>
        </w:rPr>
        <w:t xml:space="preserve"> za </w:t>
      </w:r>
      <w:r w:rsidR="00AF3A95" w:rsidRPr="00793CC2">
        <w:rPr>
          <w:rFonts w:ascii="Arial" w:hAnsi="Arial" w:cs="Arial"/>
          <w:i/>
          <w:iCs/>
          <w:noProof w:val="0"/>
        </w:rPr>
        <w:t xml:space="preserve">splnění časových </w:t>
      </w:r>
      <w:r w:rsidR="0058118F" w:rsidRPr="00793CC2">
        <w:rPr>
          <w:rFonts w:ascii="Arial" w:hAnsi="Arial" w:cs="Arial"/>
          <w:i/>
          <w:iCs/>
          <w:noProof w:val="0"/>
        </w:rPr>
        <w:t>podmínek v odst. 2 uvedených</w:t>
      </w:r>
      <w:r w:rsidR="001A1EE7" w:rsidRPr="00793CC2">
        <w:rPr>
          <w:rFonts w:ascii="Arial" w:hAnsi="Arial" w:cs="Arial"/>
          <w:i/>
          <w:iCs/>
          <w:noProof w:val="0"/>
        </w:rPr>
        <w:t>.</w:t>
      </w:r>
    </w:p>
    <w:p w14:paraId="0B895925" w14:textId="69BFA155" w:rsidR="00FB45AC" w:rsidRPr="00793CC2" w:rsidRDefault="00FB45AC" w:rsidP="00B83FB1">
      <w:pPr>
        <w:jc w:val="both"/>
        <w:rPr>
          <w:rFonts w:ascii="Arial" w:hAnsi="Arial" w:cs="Arial"/>
          <w:b/>
          <w:bCs/>
          <w:noProof w:val="0"/>
        </w:rPr>
      </w:pPr>
    </w:p>
    <w:p w14:paraId="684765AD" w14:textId="7384F4C7" w:rsidR="001A1EE7" w:rsidRPr="00793CC2" w:rsidRDefault="001A1EE7" w:rsidP="00B83FB1">
      <w:pPr>
        <w:jc w:val="both"/>
        <w:rPr>
          <w:rFonts w:ascii="Arial" w:hAnsi="Arial" w:cs="Arial"/>
          <w:i/>
          <w:iCs/>
          <w:noProof w:val="0"/>
        </w:rPr>
      </w:pPr>
      <w:r w:rsidRPr="00793CC2">
        <w:rPr>
          <w:rFonts w:ascii="Arial" w:hAnsi="Arial" w:cs="Arial"/>
          <w:i/>
          <w:iCs/>
          <w:noProof w:val="0"/>
        </w:rPr>
        <w:t>Fikce doručení</w:t>
      </w:r>
      <w:r w:rsidR="00522F96" w:rsidRPr="00793CC2">
        <w:rPr>
          <w:rFonts w:ascii="Arial" w:hAnsi="Arial" w:cs="Arial"/>
          <w:i/>
          <w:iCs/>
          <w:noProof w:val="0"/>
        </w:rPr>
        <w:t xml:space="preserve"> je v § 144 odst. 2 DŘ definována právě s cílem vytvořit provázanost </w:t>
      </w:r>
      <w:r w:rsidR="00AC7D53" w:rsidRPr="00793CC2">
        <w:rPr>
          <w:rFonts w:ascii="Arial" w:hAnsi="Arial" w:cs="Arial"/>
          <w:i/>
          <w:iCs/>
          <w:noProof w:val="0"/>
        </w:rPr>
        <w:t>s § </w:t>
      </w:r>
      <w:r w:rsidR="00522F96" w:rsidRPr="00793CC2">
        <w:rPr>
          <w:rFonts w:ascii="Arial" w:hAnsi="Arial" w:cs="Arial"/>
          <w:i/>
          <w:iCs/>
          <w:noProof w:val="0"/>
        </w:rPr>
        <w:t>101 odst. 6 DŘ ve vztahu s pojmem oznámení rozhodnutí.</w:t>
      </w:r>
    </w:p>
    <w:p w14:paraId="2AAAC7D3" w14:textId="77777777" w:rsidR="001A1EE7" w:rsidRPr="00793CC2" w:rsidRDefault="001A1EE7" w:rsidP="00B83FB1">
      <w:pPr>
        <w:jc w:val="both"/>
        <w:rPr>
          <w:rFonts w:ascii="Arial" w:hAnsi="Arial" w:cs="Arial"/>
          <w:i/>
          <w:iCs/>
          <w:noProof w:val="0"/>
        </w:rPr>
      </w:pPr>
    </w:p>
    <w:p w14:paraId="0D45ABE9" w14:textId="17A7BCC7" w:rsidR="00FB45AC" w:rsidRPr="00793CC2" w:rsidRDefault="004D2E06" w:rsidP="00B83FB1">
      <w:pPr>
        <w:jc w:val="both"/>
        <w:rPr>
          <w:rFonts w:ascii="Arial" w:hAnsi="Arial" w:cs="Arial"/>
          <w:i/>
          <w:iCs/>
          <w:noProof w:val="0"/>
        </w:rPr>
      </w:pPr>
      <w:r w:rsidRPr="00793CC2">
        <w:rPr>
          <w:rFonts w:ascii="Arial" w:hAnsi="Arial" w:cs="Arial"/>
          <w:i/>
          <w:iCs/>
          <w:noProof w:val="0"/>
        </w:rPr>
        <w:t>Z citovaného § 144 odst. 1 DŘ, především ze slova „nemusí“, vyplývá, že založení dodatečného platebního výměru do spisu je pouze fakultativním krokem správce daně. Pokud by správce daně chtěl konkludentní rozhodnutí o stanove</w:t>
      </w:r>
      <w:r w:rsidR="00950E6B" w:rsidRPr="00793CC2">
        <w:rPr>
          <w:rFonts w:ascii="Arial" w:hAnsi="Arial" w:cs="Arial"/>
          <w:i/>
          <w:iCs/>
          <w:noProof w:val="0"/>
        </w:rPr>
        <w:t>n</w:t>
      </w:r>
      <w:r w:rsidRPr="00793CC2">
        <w:rPr>
          <w:rFonts w:ascii="Arial" w:hAnsi="Arial" w:cs="Arial"/>
          <w:i/>
          <w:iCs/>
          <w:noProof w:val="0"/>
        </w:rPr>
        <w:t xml:space="preserve">í daně </w:t>
      </w:r>
      <w:r w:rsidR="00522F96" w:rsidRPr="00793CC2">
        <w:rPr>
          <w:rFonts w:ascii="Arial" w:hAnsi="Arial" w:cs="Arial"/>
          <w:i/>
          <w:iCs/>
          <w:noProof w:val="0"/>
        </w:rPr>
        <w:t xml:space="preserve">klasicky </w:t>
      </w:r>
      <w:r w:rsidRPr="00793CC2">
        <w:rPr>
          <w:rFonts w:ascii="Arial" w:hAnsi="Arial" w:cs="Arial"/>
          <w:i/>
          <w:iCs/>
          <w:noProof w:val="0"/>
        </w:rPr>
        <w:t>doručovat, zákon mu v tom nebrání. Jistě však není žádoucí</w:t>
      </w:r>
      <w:r w:rsidR="00950E6B" w:rsidRPr="00793CC2">
        <w:rPr>
          <w:rStyle w:val="Znakapoznpodarou"/>
          <w:rFonts w:ascii="Arial" w:hAnsi="Arial" w:cs="Arial"/>
          <w:i/>
          <w:iCs/>
          <w:noProof w:val="0"/>
        </w:rPr>
        <w:footnoteReference w:id="7"/>
      </w:r>
      <w:r w:rsidRPr="00793CC2">
        <w:rPr>
          <w:rFonts w:ascii="Arial" w:hAnsi="Arial" w:cs="Arial"/>
          <w:i/>
          <w:iCs/>
          <w:noProof w:val="0"/>
        </w:rPr>
        <w:t xml:space="preserve">, aby </w:t>
      </w:r>
      <w:r w:rsidR="00950E6B" w:rsidRPr="00793CC2">
        <w:rPr>
          <w:rFonts w:ascii="Arial" w:hAnsi="Arial" w:cs="Arial"/>
          <w:i/>
          <w:iCs/>
          <w:noProof w:val="0"/>
        </w:rPr>
        <w:t xml:space="preserve">správce daně doručoval </w:t>
      </w:r>
      <w:r w:rsidR="001A6488" w:rsidRPr="00793CC2">
        <w:rPr>
          <w:rFonts w:ascii="Arial" w:hAnsi="Arial" w:cs="Arial"/>
          <w:i/>
          <w:iCs/>
          <w:noProof w:val="0"/>
        </w:rPr>
        <w:t xml:space="preserve">(některým daňovým subjektům) </w:t>
      </w:r>
      <w:r w:rsidR="00950E6B" w:rsidRPr="00793CC2">
        <w:rPr>
          <w:rFonts w:ascii="Arial" w:hAnsi="Arial" w:cs="Arial"/>
          <w:i/>
          <w:iCs/>
          <w:noProof w:val="0"/>
        </w:rPr>
        <w:t>tato rozhodnutí</w:t>
      </w:r>
      <w:r w:rsidR="001A6488" w:rsidRPr="00793CC2">
        <w:rPr>
          <w:rFonts w:ascii="Arial" w:hAnsi="Arial" w:cs="Arial"/>
          <w:i/>
          <w:iCs/>
          <w:noProof w:val="0"/>
        </w:rPr>
        <w:t xml:space="preserve"> </w:t>
      </w:r>
      <w:r w:rsidR="00950E6B" w:rsidRPr="00793CC2">
        <w:rPr>
          <w:rFonts w:ascii="Arial" w:hAnsi="Arial" w:cs="Arial"/>
          <w:i/>
          <w:iCs/>
          <w:noProof w:val="0"/>
        </w:rPr>
        <w:t xml:space="preserve">jen kvůli jejich </w:t>
      </w:r>
      <w:r w:rsidR="002734FD" w:rsidRPr="00793CC2">
        <w:rPr>
          <w:rFonts w:ascii="Arial" w:hAnsi="Arial" w:cs="Arial"/>
          <w:i/>
          <w:iCs/>
          <w:noProof w:val="0"/>
        </w:rPr>
        <w:t xml:space="preserve">možnému </w:t>
      </w:r>
      <w:r w:rsidR="00950E6B" w:rsidRPr="00793CC2">
        <w:rPr>
          <w:rFonts w:ascii="Arial" w:hAnsi="Arial" w:cs="Arial"/>
          <w:i/>
          <w:iCs/>
          <w:noProof w:val="0"/>
        </w:rPr>
        <w:t xml:space="preserve">vlivu na </w:t>
      </w:r>
      <w:r w:rsidR="0036707C" w:rsidRPr="00793CC2">
        <w:rPr>
          <w:rFonts w:ascii="Arial" w:hAnsi="Arial" w:cs="Arial"/>
          <w:i/>
          <w:iCs/>
          <w:noProof w:val="0"/>
        </w:rPr>
        <w:t xml:space="preserve">běh </w:t>
      </w:r>
      <w:r w:rsidR="00950E6B" w:rsidRPr="00793CC2">
        <w:rPr>
          <w:rFonts w:ascii="Arial" w:hAnsi="Arial" w:cs="Arial"/>
          <w:i/>
          <w:iCs/>
          <w:noProof w:val="0"/>
        </w:rPr>
        <w:t>lhůt</w:t>
      </w:r>
      <w:r w:rsidR="0036707C" w:rsidRPr="00793CC2">
        <w:rPr>
          <w:rFonts w:ascii="Arial" w:hAnsi="Arial" w:cs="Arial"/>
          <w:i/>
          <w:iCs/>
          <w:noProof w:val="0"/>
        </w:rPr>
        <w:t>y</w:t>
      </w:r>
      <w:r w:rsidR="00950E6B" w:rsidRPr="00793CC2">
        <w:rPr>
          <w:rFonts w:ascii="Arial" w:hAnsi="Arial" w:cs="Arial"/>
          <w:i/>
          <w:iCs/>
          <w:noProof w:val="0"/>
        </w:rPr>
        <w:t xml:space="preserve"> pro stanovení daně.</w:t>
      </w:r>
      <w:r w:rsidR="006F6751" w:rsidRPr="00793CC2">
        <w:rPr>
          <w:rFonts w:ascii="Arial" w:hAnsi="Arial" w:cs="Arial"/>
          <w:i/>
          <w:iCs/>
          <w:noProof w:val="0"/>
        </w:rPr>
        <w:t xml:space="preserve"> V takovémto případě by naopak mohlo být </w:t>
      </w:r>
      <w:r w:rsidR="001A6488" w:rsidRPr="00793CC2">
        <w:rPr>
          <w:rFonts w:ascii="Arial" w:hAnsi="Arial" w:cs="Arial"/>
          <w:i/>
          <w:iCs/>
          <w:noProof w:val="0"/>
        </w:rPr>
        <w:t>ze </w:t>
      </w:r>
      <w:r w:rsidR="006F6751" w:rsidRPr="00793CC2">
        <w:rPr>
          <w:rFonts w:ascii="Arial" w:hAnsi="Arial" w:cs="Arial"/>
          <w:i/>
          <w:iCs/>
          <w:noProof w:val="0"/>
        </w:rPr>
        <w:t xml:space="preserve">strany KDP argumentováno, že prodloužení lhůty pro stanovení daně je závislé </w:t>
      </w:r>
      <w:r w:rsidR="001A6488" w:rsidRPr="00793CC2">
        <w:rPr>
          <w:rFonts w:ascii="Arial" w:hAnsi="Arial" w:cs="Arial"/>
          <w:i/>
          <w:iCs/>
          <w:noProof w:val="0"/>
        </w:rPr>
        <w:t>na </w:t>
      </w:r>
      <w:r w:rsidR="006F6751" w:rsidRPr="00793CC2">
        <w:rPr>
          <w:rFonts w:ascii="Arial" w:hAnsi="Arial" w:cs="Arial"/>
          <w:i/>
          <w:iCs/>
          <w:noProof w:val="0"/>
        </w:rPr>
        <w:t xml:space="preserve">„libovůli“ správce daně. </w:t>
      </w:r>
    </w:p>
    <w:p w14:paraId="3EF45069" w14:textId="77777777" w:rsidR="004D2E06" w:rsidRPr="00793CC2" w:rsidRDefault="004D2E06" w:rsidP="00B83FB1">
      <w:pPr>
        <w:jc w:val="both"/>
        <w:rPr>
          <w:rFonts w:ascii="Arial" w:hAnsi="Arial" w:cs="Arial"/>
          <w:b/>
          <w:bCs/>
          <w:noProof w:val="0"/>
        </w:rPr>
      </w:pPr>
    </w:p>
    <w:p w14:paraId="0832956F" w14:textId="417284C8" w:rsidR="004D2E06" w:rsidRPr="00793CC2" w:rsidRDefault="004D2E06" w:rsidP="00B83FB1">
      <w:pPr>
        <w:jc w:val="both"/>
        <w:rPr>
          <w:rFonts w:ascii="Arial" w:hAnsi="Arial" w:cs="Arial"/>
          <w:i/>
          <w:iCs/>
          <w:noProof w:val="0"/>
        </w:rPr>
      </w:pPr>
      <w:r w:rsidRPr="00793CC2">
        <w:rPr>
          <w:rFonts w:ascii="Arial" w:hAnsi="Arial" w:cs="Arial"/>
          <w:i/>
          <w:iCs/>
          <w:noProof w:val="0"/>
        </w:rPr>
        <w:t xml:space="preserve">Názor </w:t>
      </w:r>
      <w:r w:rsidR="009027E2" w:rsidRPr="00793CC2">
        <w:rPr>
          <w:rFonts w:ascii="Arial" w:hAnsi="Arial" w:cs="Arial"/>
          <w:i/>
          <w:iCs/>
          <w:noProof w:val="0"/>
        </w:rPr>
        <w:t>KDP</w:t>
      </w:r>
      <w:r w:rsidRPr="00793CC2">
        <w:rPr>
          <w:rFonts w:ascii="Arial" w:hAnsi="Arial" w:cs="Arial"/>
          <w:i/>
          <w:iCs/>
          <w:noProof w:val="0"/>
        </w:rPr>
        <w:t xml:space="preserve"> vychází dále z teze, že pokud je doručováno fikcí, tak se nej</w:t>
      </w:r>
      <w:r w:rsidR="002734FD" w:rsidRPr="00793CC2">
        <w:rPr>
          <w:rFonts w:ascii="Arial" w:hAnsi="Arial" w:cs="Arial"/>
          <w:i/>
          <w:iCs/>
          <w:noProof w:val="0"/>
        </w:rPr>
        <w:t>e</w:t>
      </w:r>
      <w:r w:rsidRPr="00793CC2">
        <w:rPr>
          <w:rFonts w:ascii="Arial" w:hAnsi="Arial" w:cs="Arial"/>
          <w:i/>
          <w:iCs/>
          <w:noProof w:val="0"/>
        </w:rPr>
        <w:t xml:space="preserve">dná </w:t>
      </w:r>
      <w:r w:rsidR="00AC7D53" w:rsidRPr="00793CC2">
        <w:rPr>
          <w:rFonts w:ascii="Arial" w:hAnsi="Arial" w:cs="Arial"/>
          <w:i/>
          <w:iCs/>
          <w:noProof w:val="0"/>
        </w:rPr>
        <w:t>o </w:t>
      </w:r>
      <w:r w:rsidRPr="00793CC2">
        <w:rPr>
          <w:rFonts w:ascii="Arial" w:hAnsi="Arial" w:cs="Arial"/>
          <w:i/>
          <w:iCs/>
          <w:noProof w:val="0"/>
        </w:rPr>
        <w:t>„plnohodnotné“ doručení</w:t>
      </w:r>
      <w:r w:rsidR="0036707C" w:rsidRPr="00793CC2">
        <w:rPr>
          <w:rFonts w:ascii="Arial" w:hAnsi="Arial" w:cs="Arial"/>
          <w:i/>
          <w:iCs/>
          <w:noProof w:val="0"/>
        </w:rPr>
        <w:t xml:space="preserve"> – tedy že je sice formálně doručeno, ale materiálně se s obsahem písemnosti její příjemce neseznámil</w:t>
      </w:r>
      <w:r w:rsidRPr="00793CC2">
        <w:rPr>
          <w:rFonts w:ascii="Arial" w:hAnsi="Arial" w:cs="Arial"/>
          <w:i/>
          <w:iCs/>
          <w:noProof w:val="0"/>
        </w:rPr>
        <w:t>.</w:t>
      </w:r>
      <w:r w:rsidR="002734FD" w:rsidRPr="00793CC2">
        <w:rPr>
          <w:rFonts w:ascii="Arial" w:hAnsi="Arial" w:cs="Arial"/>
          <w:i/>
          <w:iCs/>
          <w:noProof w:val="0"/>
        </w:rPr>
        <w:t xml:space="preserve"> Při takovémto výkladu by však byl popřen celý princip fikce doručení, a to nejen v citovaném ustanovení, ale též např. </w:t>
      </w:r>
      <w:r w:rsidR="00AC7D53" w:rsidRPr="00793CC2">
        <w:rPr>
          <w:rFonts w:ascii="Arial" w:hAnsi="Arial" w:cs="Arial"/>
          <w:i/>
          <w:iCs/>
          <w:noProof w:val="0"/>
        </w:rPr>
        <w:t>v § </w:t>
      </w:r>
      <w:r w:rsidR="002734FD" w:rsidRPr="00793CC2">
        <w:rPr>
          <w:rFonts w:ascii="Arial" w:hAnsi="Arial" w:cs="Arial"/>
          <w:i/>
          <w:iCs/>
          <w:noProof w:val="0"/>
        </w:rPr>
        <w:t>47 odst. 2 DŘ</w:t>
      </w:r>
      <w:r w:rsidR="002734FD" w:rsidRPr="00793CC2">
        <w:rPr>
          <w:rStyle w:val="Znakapoznpodarou"/>
          <w:rFonts w:ascii="Arial" w:hAnsi="Arial" w:cs="Arial"/>
          <w:i/>
          <w:iCs/>
          <w:noProof w:val="0"/>
        </w:rPr>
        <w:footnoteReference w:id="8"/>
      </w:r>
      <w:r w:rsidR="002734FD" w:rsidRPr="00793CC2">
        <w:rPr>
          <w:rFonts w:ascii="Arial" w:hAnsi="Arial" w:cs="Arial"/>
          <w:i/>
          <w:iCs/>
          <w:noProof w:val="0"/>
        </w:rPr>
        <w:t xml:space="preserve"> </w:t>
      </w:r>
      <w:r w:rsidR="009D1479" w:rsidRPr="00793CC2">
        <w:rPr>
          <w:rFonts w:ascii="Arial" w:hAnsi="Arial" w:cs="Arial"/>
          <w:i/>
          <w:iCs/>
          <w:noProof w:val="0"/>
        </w:rPr>
        <w:t>–</w:t>
      </w:r>
      <w:r w:rsidR="002734FD" w:rsidRPr="00793CC2">
        <w:rPr>
          <w:rFonts w:ascii="Arial" w:hAnsi="Arial" w:cs="Arial"/>
          <w:i/>
          <w:iCs/>
          <w:noProof w:val="0"/>
        </w:rPr>
        <w:t xml:space="preserve"> zatímco</w:t>
      </w:r>
      <w:r w:rsidR="009D1479" w:rsidRPr="00793CC2">
        <w:rPr>
          <w:rFonts w:ascii="Arial" w:hAnsi="Arial" w:cs="Arial"/>
          <w:i/>
          <w:iCs/>
          <w:noProof w:val="0"/>
        </w:rPr>
        <w:t xml:space="preserve"> </w:t>
      </w:r>
      <w:r w:rsidR="002734FD" w:rsidRPr="00793CC2">
        <w:rPr>
          <w:rFonts w:ascii="Arial" w:hAnsi="Arial" w:cs="Arial"/>
          <w:i/>
          <w:iCs/>
          <w:noProof w:val="0"/>
        </w:rPr>
        <w:t>při doručení konklude</w:t>
      </w:r>
      <w:r w:rsidR="00DF362F" w:rsidRPr="00793CC2">
        <w:rPr>
          <w:rFonts w:ascii="Arial" w:hAnsi="Arial" w:cs="Arial"/>
          <w:i/>
          <w:iCs/>
          <w:noProof w:val="0"/>
        </w:rPr>
        <w:t>n</w:t>
      </w:r>
      <w:r w:rsidR="002734FD" w:rsidRPr="00793CC2">
        <w:rPr>
          <w:rFonts w:ascii="Arial" w:hAnsi="Arial" w:cs="Arial"/>
          <w:i/>
          <w:iCs/>
          <w:noProof w:val="0"/>
        </w:rPr>
        <w:t xml:space="preserve">tního rozhodnutí o stanovení daně má jeho adresát povědomí o obsahu tohoto rozhodnutí (neboť </w:t>
      </w:r>
      <w:r w:rsidR="006F6751" w:rsidRPr="00793CC2">
        <w:rPr>
          <w:rFonts w:ascii="Arial" w:hAnsi="Arial" w:cs="Arial"/>
          <w:i/>
          <w:iCs/>
          <w:noProof w:val="0"/>
        </w:rPr>
        <w:t xml:space="preserve">toto odpovídá obsahu </w:t>
      </w:r>
      <w:r w:rsidR="002734FD" w:rsidRPr="00793CC2">
        <w:rPr>
          <w:rFonts w:ascii="Arial" w:hAnsi="Arial" w:cs="Arial"/>
          <w:i/>
          <w:iCs/>
          <w:noProof w:val="0"/>
        </w:rPr>
        <w:t>daňové</w:t>
      </w:r>
      <w:r w:rsidR="006F6751" w:rsidRPr="00793CC2">
        <w:rPr>
          <w:rFonts w:ascii="Arial" w:hAnsi="Arial" w:cs="Arial"/>
          <w:i/>
          <w:iCs/>
          <w:noProof w:val="0"/>
        </w:rPr>
        <w:t>ho</w:t>
      </w:r>
      <w:r w:rsidR="002734FD" w:rsidRPr="00793CC2">
        <w:rPr>
          <w:rFonts w:ascii="Arial" w:hAnsi="Arial" w:cs="Arial"/>
          <w:i/>
          <w:iCs/>
          <w:noProof w:val="0"/>
        </w:rPr>
        <w:t xml:space="preserve"> tvrzení), při doručení fikcí </w:t>
      </w:r>
      <w:r w:rsidR="006F6751" w:rsidRPr="00793CC2">
        <w:rPr>
          <w:rFonts w:ascii="Arial" w:hAnsi="Arial" w:cs="Arial"/>
          <w:i/>
          <w:iCs/>
          <w:noProof w:val="0"/>
        </w:rPr>
        <w:t>dle § 47 odst. 2 DŘ</w:t>
      </w:r>
      <w:r w:rsidR="002734FD" w:rsidRPr="00793CC2">
        <w:rPr>
          <w:rFonts w:ascii="Arial" w:hAnsi="Arial" w:cs="Arial"/>
          <w:i/>
          <w:iCs/>
          <w:noProof w:val="0"/>
        </w:rPr>
        <w:t xml:space="preserve"> vůbec není jisté, zda se adresát </w:t>
      </w:r>
      <w:r w:rsidR="006F6751" w:rsidRPr="00793CC2">
        <w:rPr>
          <w:rFonts w:ascii="Arial" w:hAnsi="Arial" w:cs="Arial"/>
          <w:i/>
          <w:iCs/>
          <w:noProof w:val="0"/>
        </w:rPr>
        <w:t>s</w:t>
      </w:r>
      <w:r w:rsidR="002734FD" w:rsidRPr="00793CC2">
        <w:rPr>
          <w:rFonts w:ascii="Arial" w:hAnsi="Arial" w:cs="Arial"/>
          <w:i/>
          <w:iCs/>
          <w:noProof w:val="0"/>
        </w:rPr>
        <w:t xml:space="preserve"> písemností </w:t>
      </w:r>
      <w:r w:rsidR="006F6751" w:rsidRPr="00793CC2">
        <w:rPr>
          <w:rFonts w:ascii="Arial" w:hAnsi="Arial" w:cs="Arial"/>
          <w:i/>
          <w:iCs/>
          <w:noProof w:val="0"/>
        </w:rPr>
        <w:t xml:space="preserve">materiálně </w:t>
      </w:r>
      <w:r w:rsidR="002734FD" w:rsidRPr="00793CC2">
        <w:rPr>
          <w:rFonts w:ascii="Arial" w:hAnsi="Arial" w:cs="Arial"/>
          <w:i/>
          <w:iCs/>
          <w:noProof w:val="0"/>
        </w:rPr>
        <w:t>seznámil.</w:t>
      </w:r>
      <w:r w:rsidR="0036707C" w:rsidRPr="00793CC2">
        <w:rPr>
          <w:rFonts w:ascii="Arial" w:hAnsi="Arial" w:cs="Arial"/>
          <w:i/>
          <w:iCs/>
          <w:noProof w:val="0"/>
        </w:rPr>
        <w:t xml:space="preserve"> Přesto nelze tvrdit, že pokud by byla fikcí dle § 47 odst. 2 DŘ doručena písemnost, pak úkon obsažený v této písemnosti (nejen rozhodnutí o stanovení daně, ale např. též oznámení o zahájení daňové kontroly či rozhodnutí o odvolání) nemá vliv na běh lhůty pro stanovení daně. </w:t>
      </w:r>
      <w:r w:rsidR="00AD2A36" w:rsidRPr="00793CC2">
        <w:rPr>
          <w:rFonts w:ascii="Arial" w:hAnsi="Arial" w:cs="Arial"/>
          <w:i/>
          <w:iCs/>
          <w:noProof w:val="0"/>
        </w:rPr>
        <w:t>Nutno uvést, že</w:t>
      </w:r>
      <w:r w:rsidR="0036707C" w:rsidRPr="00793CC2">
        <w:rPr>
          <w:rFonts w:ascii="Arial" w:hAnsi="Arial" w:cs="Arial"/>
          <w:i/>
          <w:iCs/>
          <w:noProof w:val="0"/>
        </w:rPr>
        <w:t xml:space="preserve"> z</w:t>
      </w:r>
      <w:r w:rsidR="009D1479" w:rsidRPr="00793CC2">
        <w:rPr>
          <w:rFonts w:ascii="Arial" w:hAnsi="Arial" w:cs="Arial"/>
          <w:i/>
          <w:iCs/>
          <w:noProof w:val="0"/>
        </w:rPr>
        <w:t>p</w:t>
      </w:r>
      <w:r w:rsidR="0036707C" w:rsidRPr="00793CC2">
        <w:rPr>
          <w:rFonts w:ascii="Arial" w:hAnsi="Arial" w:cs="Arial"/>
          <w:i/>
          <w:iCs/>
          <w:noProof w:val="0"/>
        </w:rPr>
        <w:t xml:space="preserve">ůsob doručování </w:t>
      </w:r>
      <w:r w:rsidR="00AD2A36" w:rsidRPr="00793CC2">
        <w:rPr>
          <w:rFonts w:ascii="Arial" w:hAnsi="Arial" w:cs="Arial"/>
          <w:i/>
          <w:iCs/>
          <w:noProof w:val="0"/>
        </w:rPr>
        <w:t xml:space="preserve">fikcí </w:t>
      </w:r>
      <w:r w:rsidR="0036707C" w:rsidRPr="00793CC2">
        <w:rPr>
          <w:rFonts w:ascii="Arial" w:hAnsi="Arial" w:cs="Arial"/>
          <w:i/>
          <w:iCs/>
          <w:noProof w:val="0"/>
        </w:rPr>
        <w:t>aplikují</w:t>
      </w:r>
      <w:r w:rsidR="009D1479" w:rsidRPr="00793CC2">
        <w:rPr>
          <w:rFonts w:ascii="Arial" w:hAnsi="Arial" w:cs="Arial"/>
          <w:i/>
          <w:iCs/>
          <w:noProof w:val="0"/>
        </w:rPr>
        <w:t xml:space="preserve"> nejen správci daně dle daňového řádu, ale též</w:t>
      </w:r>
      <w:r w:rsidR="0036707C" w:rsidRPr="00793CC2">
        <w:rPr>
          <w:rFonts w:ascii="Arial" w:hAnsi="Arial" w:cs="Arial"/>
          <w:i/>
          <w:iCs/>
          <w:noProof w:val="0"/>
        </w:rPr>
        <w:t xml:space="preserve"> </w:t>
      </w:r>
      <w:r w:rsidR="009D1479" w:rsidRPr="00793CC2">
        <w:rPr>
          <w:rFonts w:ascii="Arial" w:hAnsi="Arial" w:cs="Arial"/>
          <w:i/>
          <w:iCs/>
          <w:noProof w:val="0"/>
        </w:rPr>
        <w:t xml:space="preserve">další </w:t>
      </w:r>
      <w:r w:rsidR="006F6751" w:rsidRPr="00793CC2">
        <w:rPr>
          <w:rFonts w:ascii="Arial" w:hAnsi="Arial" w:cs="Arial"/>
          <w:i/>
          <w:iCs/>
          <w:noProof w:val="0"/>
        </w:rPr>
        <w:t xml:space="preserve">orgány veřejné moci (vč. soudů) </w:t>
      </w:r>
      <w:r w:rsidR="00AC7D53" w:rsidRPr="00793CC2">
        <w:rPr>
          <w:rFonts w:ascii="Arial" w:hAnsi="Arial" w:cs="Arial"/>
          <w:i/>
          <w:iCs/>
          <w:noProof w:val="0"/>
        </w:rPr>
        <w:t>dle </w:t>
      </w:r>
      <w:r w:rsidR="009D1479" w:rsidRPr="00793CC2">
        <w:rPr>
          <w:rFonts w:ascii="Arial" w:hAnsi="Arial" w:cs="Arial"/>
          <w:i/>
          <w:iCs/>
          <w:noProof w:val="0"/>
        </w:rPr>
        <w:t>ostatních procesních předpisů</w:t>
      </w:r>
      <w:r w:rsidR="0036707C" w:rsidRPr="00793CC2">
        <w:rPr>
          <w:rFonts w:ascii="Arial" w:hAnsi="Arial" w:cs="Arial"/>
          <w:i/>
          <w:iCs/>
          <w:noProof w:val="0"/>
        </w:rPr>
        <w:t xml:space="preserve">. </w:t>
      </w:r>
      <w:r w:rsidR="009D1479" w:rsidRPr="00793CC2">
        <w:rPr>
          <w:rFonts w:ascii="Arial" w:hAnsi="Arial" w:cs="Arial"/>
          <w:i/>
          <w:iCs/>
          <w:noProof w:val="0"/>
        </w:rPr>
        <w:t>Není taktéž žádoucí směřovat výklad zákona k jakémusi dvojímu standardu rozhodnutí, kdy by bylo testováno nejen to, zda bylo doručeno fikcí, ale též, zda se příjemce s rozhodnutím reálně seznámil.</w:t>
      </w:r>
      <w:r w:rsidR="00AD2A36" w:rsidRPr="00793CC2">
        <w:rPr>
          <w:rFonts w:ascii="Arial" w:hAnsi="Arial" w:cs="Arial"/>
          <w:i/>
          <w:iCs/>
          <w:noProof w:val="0"/>
        </w:rPr>
        <w:t xml:space="preserve"> V daném případě je však obsah konkludentního rozhodnutí o stanovení daně daňovému subje</w:t>
      </w:r>
      <w:r w:rsidR="00DF362F" w:rsidRPr="00793CC2">
        <w:rPr>
          <w:rFonts w:ascii="Arial" w:hAnsi="Arial" w:cs="Arial"/>
          <w:i/>
          <w:iCs/>
          <w:noProof w:val="0"/>
        </w:rPr>
        <w:t>k</w:t>
      </w:r>
      <w:r w:rsidR="00AD2A36" w:rsidRPr="00793CC2">
        <w:rPr>
          <w:rFonts w:ascii="Arial" w:hAnsi="Arial" w:cs="Arial"/>
          <w:i/>
          <w:iCs/>
          <w:noProof w:val="0"/>
        </w:rPr>
        <w:t>tu ve své podstatě znám, neboť vychází zcela z údajů podaného daňového tvrzení.</w:t>
      </w:r>
    </w:p>
    <w:p w14:paraId="78856575" w14:textId="77777777" w:rsidR="001A6488" w:rsidRPr="00793CC2" w:rsidRDefault="001A6488" w:rsidP="00B83FB1">
      <w:pPr>
        <w:jc w:val="both"/>
        <w:rPr>
          <w:rFonts w:ascii="Arial" w:hAnsi="Arial" w:cs="Arial"/>
          <w:i/>
          <w:iCs/>
          <w:noProof w:val="0"/>
        </w:rPr>
      </w:pPr>
    </w:p>
    <w:p w14:paraId="7169CCC7" w14:textId="7D6CD1DD" w:rsidR="001A6488" w:rsidRPr="00793CC2" w:rsidRDefault="001A6488" w:rsidP="00287C7C">
      <w:pPr>
        <w:autoSpaceDE w:val="0"/>
        <w:autoSpaceDN w:val="0"/>
        <w:adjustRightInd w:val="0"/>
        <w:jc w:val="both"/>
        <w:rPr>
          <w:rFonts w:ascii="Arial" w:hAnsi="Arial" w:cs="Arial"/>
          <w:i/>
          <w:iCs/>
          <w:noProof w:val="0"/>
          <w:lang w:eastAsia="cs-CZ"/>
        </w:rPr>
      </w:pPr>
      <w:r w:rsidRPr="00793CC2">
        <w:rPr>
          <w:rFonts w:ascii="Arial" w:hAnsi="Arial" w:cs="Arial"/>
          <w:i/>
          <w:iCs/>
          <w:noProof w:val="0"/>
        </w:rPr>
        <w:t>K této otázce lze o</w:t>
      </w:r>
      <w:r w:rsidR="00702C97" w:rsidRPr="00793CC2">
        <w:rPr>
          <w:rFonts w:ascii="Arial" w:hAnsi="Arial" w:cs="Arial"/>
          <w:i/>
          <w:iCs/>
          <w:noProof w:val="0"/>
        </w:rPr>
        <w:t>d</w:t>
      </w:r>
      <w:r w:rsidRPr="00793CC2">
        <w:rPr>
          <w:rFonts w:ascii="Arial" w:hAnsi="Arial" w:cs="Arial"/>
          <w:i/>
          <w:iCs/>
          <w:noProof w:val="0"/>
        </w:rPr>
        <w:t xml:space="preserve">kázat např. na rozsudek rozšířeného </w:t>
      </w:r>
      <w:r w:rsidR="00897CF2" w:rsidRPr="00793CC2">
        <w:rPr>
          <w:rFonts w:ascii="Arial" w:hAnsi="Arial" w:cs="Arial"/>
          <w:i/>
          <w:iCs/>
          <w:noProof w:val="0"/>
        </w:rPr>
        <w:t xml:space="preserve">senátu </w:t>
      </w:r>
      <w:r w:rsidRPr="00793CC2">
        <w:rPr>
          <w:rFonts w:ascii="Arial" w:hAnsi="Arial" w:cs="Arial"/>
          <w:i/>
          <w:iCs/>
          <w:noProof w:val="0"/>
        </w:rPr>
        <w:t>Nejvy</w:t>
      </w:r>
      <w:r w:rsidR="00DF362F" w:rsidRPr="00793CC2">
        <w:rPr>
          <w:rFonts w:ascii="Arial" w:hAnsi="Arial" w:cs="Arial"/>
          <w:i/>
          <w:iCs/>
          <w:noProof w:val="0"/>
        </w:rPr>
        <w:t>š</w:t>
      </w:r>
      <w:r w:rsidRPr="00793CC2">
        <w:rPr>
          <w:rFonts w:ascii="Arial" w:hAnsi="Arial" w:cs="Arial"/>
          <w:i/>
          <w:iCs/>
          <w:noProof w:val="0"/>
        </w:rPr>
        <w:t xml:space="preserve">šího správního soudu č. j. </w:t>
      </w:r>
      <w:r w:rsidRPr="00793CC2">
        <w:rPr>
          <w:rFonts w:ascii="Arial" w:hAnsi="Arial" w:cs="Arial"/>
          <w:i/>
          <w:iCs/>
          <w:noProof w:val="0"/>
          <w:lang w:eastAsia="cs-CZ"/>
        </w:rPr>
        <w:t>3 As 241/2014-41 ze dne 20. 12. 20</w:t>
      </w:r>
      <w:r w:rsidR="00DF362F" w:rsidRPr="00793CC2">
        <w:rPr>
          <w:rFonts w:ascii="Arial" w:hAnsi="Arial" w:cs="Arial"/>
          <w:i/>
          <w:iCs/>
          <w:noProof w:val="0"/>
          <w:lang w:eastAsia="cs-CZ"/>
        </w:rPr>
        <w:t>1</w:t>
      </w:r>
      <w:r w:rsidRPr="00793CC2">
        <w:rPr>
          <w:rFonts w:ascii="Arial" w:hAnsi="Arial" w:cs="Arial"/>
          <w:i/>
          <w:iCs/>
          <w:noProof w:val="0"/>
          <w:lang w:eastAsia="cs-CZ"/>
        </w:rPr>
        <w:t>6</w:t>
      </w:r>
      <w:r w:rsidRPr="00793CC2">
        <w:rPr>
          <w:rStyle w:val="Znakapoznpodarou"/>
          <w:rFonts w:ascii="Arial" w:hAnsi="Arial" w:cs="Arial"/>
          <w:i/>
          <w:iCs/>
          <w:noProof w:val="0"/>
          <w:lang w:eastAsia="cs-CZ"/>
        </w:rPr>
        <w:footnoteReference w:id="9"/>
      </w:r>
      <w:r w:rsidRPr="00793CC2">
        <w:rPr>
          <w:rFonts w:ascii="Arial" w:hAnsi="Arial" w:cs="Arial"/>
          <w:i/>
          <w:iCs/>
          <w:noProof w:val="0"/>
          <w:lang w:eastAsia="cs-CZ"/>
        </w:rPr>
        <w:t xml:space="preserve">, který </w:t>
      </w:r>
      <w:r w:rsidR="00287C7C" w:rsidRPr="00793CC2">
        <w:rPr>
          <w:rFonts w:ascii="Arial" w:hAnsi="Arial" w:cs="Arial"/>
          <w:i/>
          <w:iCs/>
          <w:noProof w:val="0"/>
          <w:lang w:eastAsia="cs-CZ"/>
        </w:rPr>
        <w:t>dospěl k závěru, že</w:t>
      </w:r>
      <w:r w:rsidRPr="00793CC2">
        <w:rPr>
          <w:rFonts w:ascii="Arial" w:hAnsi="Arial" w:cs="Arial"/>
          <w:i/>
          <w:iCs/>
          <w:noProof w:val="0"/>
          <w:lang w:eastAsia="cs-CZ"/>
        </w:rPr>
        <w:t xml:space="preserve"> </w:t>
      </w:r>
      <w:r w:rsidR="00287C7C" w:rsidRPr="00793CC2">
        <w:rPr>
          <w:rFonts w:ascii="Arial" w:hAnsi="Arial" w:cs="Arial"/>
          <w:i/>
          <w:iCs/>
          <w:noProof w:val="0"/>
          <w:lang w:eastAsia="cs-CZ"/>
        </w:rPr>
        <w:t>zákonné požadavky pro vznik fikce doručení jsou splněny i v případě, že nedošlo z některého důvodu k následnému vložení doručované písemnosti do schránky adresáta</w:t>
      </w:r>
      <w:r w:rsidR="00287C7C" w:rsidRPr="00793CC2">
        <w:rPr>
          <w:rStyle w:val="Znakapoznpodarou"/>
          <w:rFonts w:ascii="Arial" w:hAnsi="Arial" w:cs="Arial"/>
          <w:i/>
          <w:iCs/>
          <w:noProof w:val="0"/>
          <w:lang w:eastAsia="cs-CZ"/>
        </w:rPr>
        <w:footnoteReference w:id="10"/>
      </w:r>
      <w:r w:rsidR="00287C7C" w:rsidRPr="00793CC2">
        <w:rPr>
          <w:rFonts w:ascii="Arial" w:hAnsi="Arial" w:cs="Arial"/>
          <w:i/>
          <w:iCs/>
          <w:noProof w:val="0"/>
          <w:lang w:eastAsia="cs-CZ"/>
        </w:rPr>
        <w:t>.</w:t>
      </w:r>
      <w:r w:rsidRPr="00793CC2">
        <w:rPr>
          <w:rFonts w:ascii="Arial" w:hAnsi="Arial" w:cs="Arial"/>
          <w:i/>
          <w:iCs/>
          <w:noProof w:val="0"/>
        </w:rPr>
        <w:t xml:space="preserve"> </w:t>
      </w:r>
      <w:r w:rsidR="00287C7C" w:rsidRPr="00793CC2">
        <w:rPr>
          <w:rFonts w:ascii="Arial" w:hAnsi="Arial" w:cs="Arial"/>
          <w:i/>
          <w:iCs/>
          <w:noProof w:val="0"/>
        </w:rPr>
        <w:t>Je tedy zřejmé, že fikce doručení není spojena s podmínkou materiálního seznámení příjemce písemnosti s touto písemností.</w:t>
      </w:r>
      <w:r w:rsidRPr="00793CC2">
        <w:rPr>
          <w:rFonts w:ascii="Arial" w:hAnsi="Arial" w:cs="Arial"/>
          <w:i/>
          <w:iCs/>
          <w:noProof w:val="0"/>
        </w:rPr>
        <w:t xml:space="preserve"> </w:t>
      </w:r>
    </w:p>
    <w:p w14:paraId="306C24CF" w14:textId="77777777" w:rsidR="009D1479" w:rsidRPr="00793CC2" w:rsidRDefault="009D1479" w:rsidP="00B83FB1">
      <w:pPr>
        <w:jc w:val="both"/>
        <w:rPr>
          <w:rFonts w:ascii="Arial" w:hAnsi="Arial" w:cs="Arial"/>
          <w:i/>
          <w:iCs/>
          <w:noProof w:val="0"/>
        </w:rPr>
      </w:pPr>
    </w:p>
    <w:p w14:paraId="2C7B86B1" w14:textId="04146E0E" w:rsidR="0097532A" w:rsidRPr="00793CC2" w:rsidRDefault="009D1479" w:rsidP="00B83FB1">
      <w:pPr>
        <w:jc w:val="both"/>
        <w:rPr>
          <w:rFonts w:ascii="Arial" w:hAnsi="Arial" w:cs="Arial"/>
          <w:i/>
          <w:iCs/>
          <w:noProof w:val="0"/>
        </w:rPr>
      </w:pPr>
      <w:r w:rsidRPr="00793CC2">
        <w:rPr>
          <w:rFonts w:ascii="Arial" w:hAnsi="Arial" w:cs="Arial"/>
          <w:i/>
          <w:iCs/>
          <w:noProof w:val="0"/>
        </w:rPr>
        <w:t>Dále neplatí argument, že pokud se proti rozh</w:t>
      </w:r>
      <w:r w:rsidR="00693D1F" w:rsidRPr="00793CC2">
        <w:rPr>
          <w:rFonts w:ascii="Arial" w:hAnsi="Arial" w:cs="Arial"/>
          <w:i/>
          <w:iCs/>
          <w:noProof w:val="0"/>
        </w:rPr>
        <w:t xml:space="preserve">odnutí </w:t>
      </w:r>
      <w:r w:rsidRPr="00793CC2">
        <w:rPr>
          <w:rFonts w:ascii="Arial" w:hAnsi="Arial" w:cs="Arial"/>
          <w:i/>
          <w:iCs/>
          <w:noProof w:val="0"/>
        </w:rPr>
        <w:t>nelze odvolat</w:t>
      </w:r>
      <w:r w:rsidR="00693D1F" w:rsidRPr="00793CC2">
        <w:rPr>
          <w:rFonts w:ascii="Arial" w:hAnsi="Arial" w:cs="Arial"/>
          <w:i/>
          <w:iCs/>
          <w:noProof w:val="0"/>
        </w:rPr>
        <w:t>, pak není potřeba vytvořit další časový prostor v podobě prodloužení lhůty pro stanovení daně – prodloužení lhůty přitom nelze vnímat jednost</w:t>
      </w:r>
      <w:r w:rsidR="00DF362F" w:rsidRPr="00793CC2">
        <w:rPr>
          <w:rFonts w:ascii="Arial" w:hAnsi="Arial" w:cs="Arial"/>
          <w:i/>
          <w:iCs/>
          <w:noProof w:val="0"/>
        </w:rPr>
        <w:t>r</w:t>
      </w:r>
      <w:r w:rsidR="00693D1F" w:rsidRPr="00793CC2">
        <w:rPr>
          <w:rFonts w:ascii="Arial" w:hAnsi="Arial" w:cs="Arial"/>
          <w:i/>
          <w:iCs/>
          <w:noProof w:val="0"/>
        </w:rPr>
        <w:t>anně jako „nevýhodu“ pro daňový subjekt. Tento časový prostor může být využit nejen správcem daně (např. nařízení přezkoumání rozhodnutí</w:t>
      </w:r>
      <w:r w:rsidR="00693D1F" w:rsidRPr="00793CC2">
        <w:rPr>
          <w:rStyle w:val="Znakapoznpodarou"/>
          <w:rFonts w:ascii="Arial" w:hAnsi="Arial" w:cs="Arial"/>
          <w:i/>
          <w:iCs/>
          <w:noProof w:val="0"/>
        </w:rPr>
        <w:footnoteReference w:id="11"/>
      </w:r>
      <w:r w:rsidR="00693D1F" w:rsidRPr="00793CC2">
        <w:rPr>
          <w:rFonts w:ascii="Arial" w:hAnsi="Arial" w:cs="Arial"/>
          <w:i/>
          <w:iCs/>
          <w:noProof w:val="0"/>
        </w:rPr>
        <w:t>, a to i ve vazbě na podnět daňového su</w:t>
      </w:r>
      <w:r w:rsidR="00DF362F" w:rsidRPr="00793CC2">
        <w:rPr>
          <w:rFonts w:ascii="Arial" w:hAnsi="Arial" w:cs="Arial"/>
          <w:i/>
          <w:iCs/>
          <w:noProof w:val="0"/>
        </w:rPr>
        <w:t>b</w:t>
      </w:r>
      <w:r w:rsidR="00693D1F" w:rsidRPr="00793CC2">
        <w:rPr>
          <w:rFonts w:ascii="Arial" w:hAnsi="Arial" w:cs="Arial"/>
          <w:i/>
          <w:iCs/>
          <w:noProof w:val="0"/>
        </w:rPr>
        <w:t>jektu</w:t>
      </w:r>
      <w:r w:rsidR="00693D1F" w:rsidRPr="00793CC2">
        <w:rPr>
          <w:rStyle w:val="Znakapoznpodarou"/>
          <w:rFonts w:ascii="Arial" w:hAnsi="Arial" w:cs="Arial"/>
          <w:i/>
          <w:iCs/>
          <w:noProof w:val="0"/>
        </w:rPr>
        <w:footnoteReference w:id="12"/>
      </w:r>
      <w:r w:rsidR="00693D1F" w:rsidRPr="00793CC2">
        <w:rPr>
          <w:rFonts w:ascii="Arial" w:hAnsi="Arial" w:cs="Arial"/>
          <w:i/>
          <w:iCs/>
          <w:noProof w:val="0"/>
        </w:rPr>
        <w:t>), ale též daňovým subjektem (podání dalšího dodatečného daňového tvrzení; není vyloučeno ani podání žaloby). Proti rozhodnutí o odvolání vydanému odvolacím orgánem také není připuštěno odvolání, přesto je toto rozhodnutí úkonem, který za splnění zákonných podmínek prodlouží lhůtu pro stanovení daně, viz § 148 odst. 2 písm. d) DŘ</w:t>
      </w:r>
      <w:r w:rsidR="009027E2" w:rsidRPr="00793CC2">
        <w:rPr>
          <w:rFonts w:ascii="Arial" w:hAnsi="Arial" w:cs="Arial"/>
          <w:i/>
          <w:iCs/>
          <w:noProof w:val="0"/>
        </w:rPr>
        <w:t xml:space="preserve"> – zde se navíc přepokládá, že daňový sub</w:t>
      </w:r>
      <w:r w:rsidR="00AC7D53" w:rsidRPr="00793CC2">
        <w:rPr>
          <w:rFonts w:ascii="Arial" w:hAnsi="Arial" w:cs="Arial"/>
          <w:i/>
          <w:iCs/>
          <w:noProof w:val="0"/>
        </w:rPr>
        <w:t>je</w:t>
      </w:r>
      <w:r w:rsidR="009027E2" w:rsidRPr="00793CC2">
        <w:rPr>
          <w:rFonts w:ascii="Arial" w:hAnsi="Arial" w:cs="Arial"/>
          <w:i/>
          <w:iCs/>
          <w:noProof w:val="0"/>
        </w:rPr>
        <w:t>kt žalobu v mnohých případech podávat bude.</w:t>
      </w:r>
      <w:r w:rsidR="00693D1F" w:rsidRPr="00793CC2">
        <w:rPr>
          <w:rFonts w:ascii="Arial" w:hAnsi="Arial" w:cs="Arial"/>
          <w:i/>
          <w:iCs/>
          <w:noProof w:val="0"/>
        </w:rPr>
        <w:t xml:space="preserve"> </w:t>
      </w:r>
    </w:p>
    <w:p w14:paraId="69B28AF0" w14:textId="77777777" w:rsidR="0097532A" w:rsidRPr="00793CC2" w:rsidRDefault="0097532A" w:rsidP="00B83FB1">
      <w:pPr>
        <w:jc w:val="both"/>
        <w:rPr>
          <w:rFonts w:ascii="Arial" w:hAnsi="Arial" w:cs="Arial"/>
          <w:i/>
          <w:iCs/>
          <w:noProof w:val="0"/>
        </w:rPr>
      </w:pPr>
    </w:p>
    <w:p w14:paraId="4FC84D29" w14:textId="478F6AB9" w:rsidR="007C4C5F" w:rsidRPr="00793CC2" w:rsidRDefault="0097532A" w:rsidP="00B83FB1">
      <w:pPr>
        <w:jc w:val="both"/>
        <w:rPr>
          <w:rFonts w:ascii="Arial" w:hAnsi="Arial" w:cs="Arial"/>
          <w:i/>
          <w:iCs/>
          <w:noProof w:val="0"/>
        </w:rPr>
      </w:pPr>
      <w:r w:rsidRPr="00793CC2">
        <w:rPr>
          <w:rFonts w:ascii="Arial" w:hAnsi="Arial" w:cs="Arial"/>
          <w:i/>
          <w:iCs/>
          <w:noProof w:val="0"/>
        </w:rPr>
        <w:lastRenderedPageBreak/>
        <w:t>Odkaz na judikaturu z doby účinnosti zákona o správě da</w:t>
      </w:r>
      <w:r w:rsidR="002922EB" w:rsidRPr="00793CC2">
        <w:rPr>
          <w:rFonts w:ascii="Arial" w:hAnsi="Arial" w:cs="Arial"/>
          <w:i/>
          <w:iCs/>
          <w:noProof w:val="0"/>
        </w:rPr>
        <w:t>n</w:t>
      </w:r>
      <w:r w:rsidRPr="00793CC2">
        <w:rPr>
          <w:rFonts w:ascii="Arial" w:hAnsi="Arial" w:cs="Arial"/>
          <w:i/>
          <w:iCs/>
          <w:noProof w:val="0"/>
        </w:rPr>
        <w:t>í a poplatků je naprosto nepřiléhavý. Judikatura</w:t>
      </w:r>
      <w:r w:rsidRPr="00793CC2">
        <w:rPr>
          <w:rStyle w:val="Znakapoznpodarou"/>
          <w:rFonts w:ascii="Arial" w:hAnsi="Arial" w:cs="Arial"/>
          <w:i/>
          <w:iCs/>
          <w:noProof w:val="0"/>
        </w:rPr>
        <w:footnoteReference w:id="13"/>
      </w:r>
      <w:r w:rsidRPr="00793CC2">
        <w:rPr>
          <w:rFonts w:ascii="Arial" w:hAnsi="Arial" w:cs="Arial"/>
          <w:i/>
          <w:iCs/>
          <w:noProof w:val="0"/>
        </w:rPr>
        <w:t xml:space="preserve"> ve vztahu k rozhodnutí o stanovení daně dovodila, že (dodatečným) platebním výměrem se daň (dodatečně) vyměřuje, nelze jej tedy považovat za úkon směřující k vyměření (dodatečné</w:t>
      </w:r>
      <w:r w:rsidR="00AC7D53" w:rsidRPr="00793CC2">
        <w:rPr>
          <w:rFonts w:ascii="Arial" w:hAnsi="Arial" w:cs="Arial"/>
          <w:i/>
          <w:iCs/>
          <w:noProof w:val="0"/>
        </w:rPr>
        <w:t>mu</w:t>
      </w:r>
      <w:r w:rsidRPr="00793CC2">
        <w:rPr>
          <w:rFonts w:ascii="Arial" w:hAnsi="Arial" w:cs="Arial"/>
          <w:i/>
          <w:iCs/>
          <w:noProof w:val="0"/>
        </w:rPr>
        <w:t xml:space="preserve"> stanovení) daně, který přerušuje běh lhůty podle § 47 odst. 2 tohoto zákona. </w:t>
      </w:r>
      <w:r w:rsidR="005440FF" w:rsidRPr="00793CC2">
        <w:rPr>
          <w:rFonts w:ascii="Arial" w:hAnsi="Arial" w:cs="Arial"/>
          <w:i/>
          <w:iCs/>
          <w:noProof w:val="0"/>
        </w:rPr>
        <w:t xml:space="preserve">Jinak řečeno – žádný (dodatečný) platební výměr neměl vliv na lhůtu pro </w:t>
      </w:r>
      <w:r w:rsidR="002922EB" w:rsidRPr="00793CC2">
        <w:rPr>
          <w:rFonts w:ascii="Arial" w:hAnsi="Arial" w:cs="Arial"/>
          <w:i/>
          <w:iCs/>
          <w:noProof w:val="0"/>
        </w:rPr>
        <w:t>vyměření</w:t>
      </w:r>
      <w:r w:rsidR="005440FF" w:rsidRPr="00793CC2">
        <w:rPr>
          <w:rFonts w:ascii="Arial" w:hAnsi="Arial" w:cs="Arial"/>
          <w:i/>
          <w:iCs/>
          <w:noProof w:val="0"/>
        </w:rPr>
        <w:t xml:space="preserve">. </w:t>
      </w:r>
      <w:r w:rsidRPr="00793CC2">
        <w:rPr>
          <w:rFonts w:ascii="Arial" w:hAnsi="Arial" w:cs="Arial"/>
          <w:i/>
          <w:iCs/>
          <w:noProof w:val="0"/>
        </w:rPr>
        <w:t xml:space="preserve">Zároveň judikatura dovodila, že délka předmětné lhůty a podmínky pro její přerušení (prodloužení) jsou věcí zákonodárce. </w:t>
      </w:r>
      <w:r w:rsidR="005440FF" w:rsidRPr="00793CC2">
        <w:rPr>
          <w:rFonts w:ascii="Arial" w:hAnsi="Arial" w:cs="Arial"/>
          <w:i/>
          <w:iCs/>
          <w:noProof w:val="0"/>
        </w:rPr>
        <w:t xml:space="preserve">A zákonodárce při vědomí bohaté judikatury k velmi stručnému </w:t>
      </w:r>
      <w:r w:rsidR="00AC7D53" w:rsidRPr="00793CC2">
        <w:rPr>
          <w:rFonts w:ascii="Arial" w:hAnsi="Arial" w:cs="Arial"/>
          <w:i/>
          <w:iCs/>
          <w:noProof w:val="0"/>
        </w:rPr>
        <w:t>§ </w:t>
      </w:r>
      <w:r w:rsidR="005440FF" w:rsidRPr="00793CC2">
        <w:rPr>
          <w:rFonts w:ascii="Arial" w:hAnsi="Arial" w:cs="Arial"/>
          <w:i/>
          <w:iCs/>
          <w:noProof w:val="0"/>
        </w:rPr>
        <w:t xml:space="preserve">47 zákona o správě daní o poplatků </w:t>
      </w:r>
      <w:r w:rsidR="007C4C5F" w:rsidRPr="00793CC2">
        <w:rPr>
          <w:rFonts w:ascii="Arial" w:hAnsi="Arial" w:cs="Arial"/>
          <w:i/>
          <w:iCs/>
          <w:noProof w:val="0"/>
        </w:rPr>
        <w:t xml:space="preserve">stanovil pro lhůtu jasné mantinely a </w:t>
      </w:r>
      <w:r w:rsidR="005440FF" w:rsidRPr="00793CC2">
        <w:rPr>
          <w:rFonts w:ascii="Arial" w:hAnsi="Arial" w:cs="Arial"/>
          <w:i/>
          <w:iCs/>
          <w:noProof w:val="0"/>
        </w:rPr>
        <w:t>vymezil v daňovém řádu podrobně úkony, které nějakým způsobem mohou běh a délk</w:t>
      </w:r>
      <w:r w:rsidR="00DF362F" w:rsidRPr="00793CC2">
        <w:rPr>
          <w:rFonts w:ascii="Arial" w:hAnsi="Arial" w:cs="Arial"/>
          <w:i/>
          <w:iCs/>
          <w:noProof w:val="0"/>
        </w:rPr>
        <w:t>u</w:t>
      </w:r>
      <w:r w:rsidR="005440FF" w:rsidRPr="00793CC2">
        <w:rPr>
          <w:rFonts w:ascii="Arial" w:hAnsi="Arial" w:cs="Arial"/>
          <w:i/>
          <w:iCs/>
          <w:noProof w:val="0"/>
        </w:rPr>
        <w:t xml:space="preserve"> lhůty pro stanovení daně</w:t>
      </w:r>
      <w:r w:rsidR="007C4C5F" w:rsidRPr="00793CC2">
        <w:rPr>
          <w:rFonts w:ascii="Arial" w:hAnsi="Arial" w:cs="Arial"/>
          <w:i/>
          <w:iCs/>
          <w:noProof w:val="0"/>
        </w:rPr>
        <w:t xml:space="preserve"> ovlivnit</w:t>
      </w:r>
      <w:r w:rsidR="005440FF" w:rsidRPr="00793CC2">
        <w:rPr>
          <w:rFonts w:ascii="Arial" w:hAnsi="Arial" w:cs="Arial"/>
          <w:i/>
          <w:iCs/>
          <w:noProof w:val="0"/>
        </w:rPr>
        <w:t xml:space="preserve">. Jedním z těchto úkonů je pak oznámení rozhodnutí </w:t>
      </w:r>
      <w:r w:rsidR="00AC7D53" w:rsidRPr="00793CC2">
        <w:rPr>
          <w:rFonts w:ascii="Arial" w:hAnsi="Arial" w:cs="Arial"/>
          <w:i/>
          <w:iCs/>
          <w:noProof w:val="0"/>
        </w:rPr>
        <w:t>o </w:t>
      </w:r>
      <w:r w:rsidR="005440FF" w:rsidRPr="00793CC2">
        <w:rPr>
          <w:rFonts w:ascii="Arial" w:hAnsi="Arial" w:cs="Arial"/>
          <w:i/>
          <w:iCs/>
          <w:noProof w:val="0"/>
        </w:rPr>
        <w:t xml:space="preserve">stanovení daně, aniž by však toto oznámení zákonodárce podmiňoval dalšími aspekty (např. nutností se s rozhodnutím materiálně seznámit). </w:t>
      </w:r>
    </w:p>
    <w:p w14:paraId="3DD796D4" w14:textId="77777777" w:rsidR="007C4C5F" w:rsidRPr="00793CC2" w:rsidRDefault="007C4C5F" w:rsidP="00B83FB1">
      <w:pPr>
        <w:jc w:val="both"/>
        <w:rPr>
          <w:rFonts w:ascii="Arial" w:hAnsi="Arial" w:cs="Arial"/>
          <w:i/>
          <w:iCs/>
          <w:noProof w:val="0"/>
        </w:rPr>
      </w:pPr>
    </w:p>
    <w:p w14:paraId="33FF1F08" w14:textId="5DB962BC" w:rsidR="009D1479" w:rsidRPr="00793CC2" w:rsidRDefault="007C4C5F" w:rsidP="00B83FB1">
      <w:pPr>
        <w:jc w:val="both"/>
        <w:rPr>
          <w:rFonts w:ascii="Arial" w:hAnsi="Arial" w:cs="Arial"/>
          <w:i/>
          <w:iCs/>
          <w:noProof w:val="0"/>
        </w:rPr>
      </w:pPr>
      <w:r w:rsidRPr="00793CC2">
        <w:rPr>
          <w:rFonts w:ascii="Arial" w:hAnsi="Arial" w:cs="Arial"/>
          <w:i/>
          <w:iCs/>
          <w:noProof w:val="0"/>
        </w:rPr>
        <w:t xml:space="preserve">Citace </w:t>
      </w:r>
      <w:r w:rsidR="00AC7D53" w:rsidRPr="00793CC2">
        <w:rPr>
          <w:rFonts w:ascii="Arial" w:hAnsi="Arial" w:cs="Arial"/>
          <w:i/>
          <w:iCs/>
          <w:noProof w:val="0"/>
        </w:rPr>
        <w:t xml:space="preserve">KDP </w:t>
      </w:r>
      <w:r w:rsidRPr="00793CC2">
        <w:rPr>
          <w:rFonts w:ascii="Arial" w:hAnsi="Arial" w:cs="Arial"/>
          <w:i/>
          <w:iCs/>
          <w:noProof w:val="0"/>
        </w:rPr>
        <w:t>z komen</w:t>
      </w:r>
      <w:r w:rsidR="00AD2A36" w:rsidRPr="00793CC2">
        <w:rPr>
          <w:rFonts w:ascii="Arial" w:hAnsi="Arial" w:cs="Arial"/>
          <w:i/>
          <w:iCs/>
          <w:noProof w:val="0"/>
        </w:rPr>
        <w:t>t</w:t>
      </w:r>
      <w:r w:rsidRPr="00793CC2">
        <w:rPr>
          <w:rFonts w:ascii="Arial" w:hAnsi="Arial" w:cs="Arial"/>
          <w:i/>
          <w:iCs/>
          <w:noProof w:val="0"/>
        </w:rPr>
        <w:t>ářů jsou nepřiléhavé, resp. natolik obecné či vytržené z kontextu, že z nich závěr prezentovaný v příspěvku nelze bez dalšího dovodit.</w:t>
      </w:r>
      <w:r w:rsidR="0097532A" w:rsidRPr="00793CC2">
        <w:rPr>
          <w:rFonts w:ascii="Arial" w:hAnsi="Arial" w:cs="Arial"/>
          <w:i/>
          <w:iCs/>
          <w:noProof w:val="0"/>
        </w:rPr>
        <w:t xml:space="preserve"> </w:t>
      </w:r>
    </w:p>
    <w:p w14:paraId="42D54A4F" w14:textId="77777777" w:rsidR="00086EB3" w:rsidRPr="00793CC2" w:rsidRDefault="00086EB3" w:rsidP="00B83FB1">
      <w:pPr>
        <w:jc w:val="both"/>
        <w:rPr>
          <w:rFonts w:ascii="Arial" w:hAnsi="Arial" w:cs="Arial"/>
          <w:i/>
          <w:iCs/>
          <w:noProof w:val="0"/>
        </w:rPr>
      </w:pPr>
    </w:p>
    <w:p w14:paraId="6150F190" w14:textId="77777777" w:rsidR="007C4C5F" w:rsidRPr="00793CC2" w:rsidRDefault="00086EB3" w:rsidP="00B83FB1">
      <w:pPr>
        <w:jc w:val="both"/>
        <w:rPr>
          <w:rFonts w:ascii="Arial" w:hAnsi="Arial" w:cs="Arial"/>
          <w:i/>
          <w:iCs/>
          <w:noProof w:val="0"/>
        </w:rPr>
      </w:pPr>
      <w:r w:rsidRPr="00793CC2">
        <w:rPr>
          <w:rFonts w:ascii="Arial" w:hAnsi="Arial" w:cs="Arial"/>
          <w:i/>
          <w:iCs/>
          <w:noProof w:val="0"/>
        </w:rPr>
        <w:t>Z textu § 148 odst. 2 písm. b) DŘ tak nelze usuzovat, že by se prodloužení lhůty mělo typově týkat jen některých rozhodnutí o stanovení daně.</w:t>
      </w:r>
    </w:p>
    <w:p w14:paraId="0DD2C84A" w14:textId="77777777" w:rsidR="007C4C5F" w:rsidRPr="00793CC2" w:rsidRDefault="007C4C5F" w:rsidP="00B83FB1">
      <w:pPr>
        <w:jc w:val="both"/>
        <w:rPr>
          <w:rFonts w:ascii="Arial" w:hAnsi="Arial" w:cs="Arial"/>
          <w:i/>
          <w:iCs/>
          <w:noProof w:val="0"/>
        </w:rPr>
      </w:pPr>
    </w:p>
    <w:p w14:paraId="43D12FA0" w14:textId="2654B9A9" w:rsidR="00086EB3" w:rsidRPr="00793CC2" w:rsidRDefault="007C4C5F" w:rsidP="00B83FB1">
      <w:pPr>
        <w:jc w:val="both"/>
        <w:rPr>
          <w:rFonts w:ascii="Arial" w:hAnsi="Arial" w:cs="Arial"/>
          <w:i/>
          <w:iCs/>
        </w:rPr>
      </w:pPr>
      <w:r w:rsidRPr="00793CC2">
        <w:rPr>
          <w:rFonts w:ascii="Arial" w:hAnsi="Arial" w:cs="Arial"/>
          <w:i/>
          <w:iCs/>
          <w:noProof w:val="0"/>
        </w:rPr>
        <w:t xml:space="preserve">Závěrem je nutno podotknout, že daná situace se týká pouze mizivého počtu případů, a to především z důvodu (jak správně KDP upozorňuje), že úkonem dle § 148 odst. 2 daňového řádu je též podání dodatečného daňového přiznání, které vydání dodatečného platebního výměru předchází. </w:t>
      </w:r>
      <w:r w:rsidR="00AD2A36" w:rsidRPr="00793CC2">
        <w:rPr>
          <w:rFonts w:ascii="Arial" w:hAnsi="Arial" w:cs="Arial"/>
          <w:i/>
          <w:iCs/>
          <w:noProof w:val="0"/>
        </w:rPr>
        <w:t xml:space="preserve">Dopadá tak výhradně na případy, kdy je </w:t>
      </w:r>
      <w:r w:rsidR="00893ED9" w:rsidRPr="00793CC2">
        <w:rPr>
          <w:rFonts w:ascii="Arial" w:hAnsi="Arial" w:cs="Arial"/>
          <w:i/>
          <w:iCs/>
          <w:noProof w:val="0"/>
        </w:rPr>
        <w:t>DODAP podáno na samém konci subjektivní lhůty pro stanovení daně. Předcházení takové situaci je pak zpravidla v moci daňového subjektu.</w:t>
      </w:r>
      <w:r w:rsidR="00AD2A36" w:rsidRPr="00793CC2">
        <w:rPr>
          <w:rFonts w:ascii="Arial" w:hAnsi="Arial" w:cs="Arial"/>
          <w:i/>
          <w:iCs/>
        </w:rPr>
        <w:t xml:space="preserve"> </w:t>
      </w:r>
      <w:r w:rsidR="008156A1" w:rsidRPr="00793CC2">
        <w:rPr>
          <w:rFonts w:ascii="Arial" w:hAnsi="Arial" w:cs="Arial"/>
          <w:i/>
          <w:iCs/>
        </w:rPr>
        <w:t xml:space="preserve"> </w:t>
      </w:r>
      <w:r w:rsidRPr="00793CC2">
        <w:rPr>
          <w:rFonts w:ascii="Arial" w:hAnsi="Arial" w:cs="Arial"/>
          <w:i/>
          <w:iCs/>
        </w:rPr>
        <w:t xml:space="preserve">  </w:t>
      </w:r>
    </w:p>
    <w:p w14:paraId="7C626454" w14:textId="77777777" w:rsidR="00FB45AC" w:rsidRPr="00793CC2" w:rsidRDefault="00FB45AC" w:rsidP="00B83FB1">
      <w:pPr>
        <w:jc w:val="both"/>
        <w:rPr>
          <w:rFonts w:ascii="Arial" w:hAnsi="Arial" w:cs="Arial"/>
          <w:b/>
          <w:bCs/>
        </w:rPr>
      </w:pPr>
    </w:p>
    <w:p w14:paraId="4F76EA8D" w14:textId="77777777" w:rsidR="000A56D3" w:rsidRDefault="000A56D3">
      <w:pPr>
        <w:rPr>
          <w:rFonts w:ascii="Arial" w:hAnsi="Arial" w:cs="Arial"/>
          <w:b/>
          <w:color w:val="000000"/>
          <w:u w:val="single"/>
          <w:shd w:val="clear" w:color="auto" w:fill="FFFFFF"/>
        </w:rPr>
      </w:pPr>
    </w:p>
    <w:p w14:paraId="26740064" w14:textId="68DA5A61" w:rsidR="00793CC2" w:rsidRPr="00793CC2" w:rsidRDefault="00793CC2" w:rsidP="00793CC2">
      <w:pPr>
        <w:rPr>
          <w:rFonts w:ascii="Arial" w:hAnsi="Arial" w:cs="Arial"/>
          <w:b/>
          <w:color w:val="000000"/>
          <w:u w:val="single"/>
          <w:shd w:val="clear" w:color="auto" w:fill="FFFFFF"/>
        </w:rPr>
      </w:pPr>
    </w:p>
    <w:sectPr w:rsidR="00793CC2" w:rsidRPr="00793CC2" w:rsidSect="00701D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B123" w14:textId="77777777" w:rsidR="00182AE1" w:rsidRDefault="00182AE1">
      <w:r>
        <w:separator/>
      </w:r>
    </w:p>
  </w:endnote>
  <w:endnote w:type="continuationSeparator" w:id="0">
    <w:p w14:paraId="3824A40E" w14:textId="77777777" w:rsidR="00182AE1" w:rsidRDefault="0018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auto"/>
    <w:pitch w:val="default"/>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4762" w14:textId="1883431A" w:rsidR="00AA4169" w:rsidRPr="0069620F" w:rsidRDefault="00AA4169" w:rsidP="00420FCE">
    <w:pPr>
      <w:pStyle w:val="Zpat"/>
      <w:pBdr>
        <w:top w:val="single" w:sz="4" w:space="1" w:color="auto"/>
      </w:pBdr>
      <w:rPr>
        <w:rFonts w:ascii="Arial" w:hAnsi="Arial" w:cs="Arial"/>
        <w:sz w:val="20"/>
        <w:szCs w:val="20"/>
      </w:rPr>
    </w:pPr>
    <w:r w:rsidRPr="0069620F">
      <w:rPr>
        <w:rFonts w:ascii="Arial" w:hAnsi="Arial" w:cs="Arial"/>
        <w:sz w:val="20"/>
        <w:szCs w:val="20"/>
      </w:rPr>
      <w:t>Komora daňových poradců ČR</w:t>
    </w:r>
    <w:r w:rsidRPr="0069620F">
      <w:rPr>
        <w:rFonts w:ascii="Arial" w:hAnsi="Arial" w:cs="Arial"/>
        <w:sz w:val="20"/>
        <w:szCs w:val="20"/>
      </w:rPr>
      <w:tab/>
    </w:r>
    <w:r w:rsidRPr="0069620F">
      <w:rPr>
        <w:rFonts w:ascii="Arial" w:hAnsi="Arial" w:cs="Arial"/>
        <w:sz w:val="20"/>
        <w:szCs w:val="20"/>
      </w:rPr>
      <w:tab/>
      <w:t xml:space="preserve">Strana </w:t>
    </w:r>
    <w:r w:rsidRPr="0069620F">
      <w:rPr>
        <w:rFonts w:ascii="Arial" w:hAnsi="Arial" w:cs="Arial"/>
        <w:sz w:val="20"/>
        <w:szCs w:val="20"/>
      </w:rPr>
      <w:fldChar w:fldCharType="begin"/>
    </w:r>
    <w:r w:rsidRPr="0069620F">
      <w:rPr>
        <w:rFonts w:ascii="Arial" w:hAnsi="Arial" w:cs="Arial"/>
        <w:sz w:val="20"/>
        <w:szCs w:val="20"/>
      </w:rPr>
      <w:instrText xml:space="preserve"> PAGE </w:instrText>
    </w:r>
    <w:r w:rsidRPr="0069620F">
      <w:rPr>
        <w:rFonts w:ascii="Arial" w:hAnsi="Arial" w:cs="Arial"/>
        <w:sz w:val="20"/>
        <w:szCs w:val="20"/>
      </w:rPr>
      <w:fldChar w:fldCharType="separate"/>
    </w:r>
    <w:r w:rsidR="0046154A" w:rsidRPr="0069620F">
      <w:rPr>
        <w:rFonts w:ascii="Arial" w:hAnsi="Arial" w:cs="Arial"/>
        <w:sz w:val="20"/>
        <w:szCs w:val="20"/>
      </w:rPr>
      <w:t>16</w:t>
    </w:r>
    <w:r w:rsidRPr="0069620F">
      <w:rPr>
        <w:rFonts w:ascii="Arial" w:hAnsi="Arial" w:cs="Arial"/>
        <w:sz w:val="20"/>
        <w:szCs w:val="20"/>
      </w:rPr>
      <w:fldChar w:fldCharType="end"/>
    </w:r>
    <w:r w:rsidR="00695119">
      <w:rPr>
        <w:rFonts w:ascii="Arial" w:hAnsi="Arial" w:cs="Arial"/>
        <w:sz w:val="20"/>
        <w:szCs w:val="20"/>
      </w:rPr>
      <w:t xml:space="preserve"> </w:t>
    </w:r>
    <w:r w:rsidRPr="0069620F">
      <w:rPr>
        <w:rFonts w:ascii="Arial" w:hAnsi="Arial" w:cs="Arial"/>
        <w:sz w:val="20"/>
        <w:szCs w:val="20"/>
      </w:rPr>
      <w:t xml:space="preserve">z </w:t>
    </w:r>
    <w:r w:rsidRPr="0069620F">
      <w:rPr>
        <w:rFonts w:ascii="Arial" w:hAnsi="Arial" w:cs="Arial"/>
        <w:sz w:val="20"/>
        <w:szCs w:val="20"/>
      </w:rPr>
      <w:fldChar w:fldCharType="begin"/>
    </w:r>
    <w:r w:rsidRPr="0069620F">
      <w:rPr>
        <w:rFonts w:ascii="Arial" w:hAnsi="Arial" w:cs="Arial"/>
        <w:sz w:val="20"/>
        <w:szCs w:val="20"/>
      </w:rPr>
      <w:instrText xml:space="preserve"> NUMPAGES </w:instrText>
    </w:r>
    <w:r w:rsidRPr="0069620F">
      <w:rPr>
        <w:rFonts w:ascii="Arial" w:hAnsi="Arial" w:cs="Arial"/>
        <w:sz w:val="20"/>
        <w:szCs w:val="20"/>
      </w:rPr>
      <w:fldChar w:fldCharType="separate"/>
    </w:r>
    <w:r w:rsidR="0046154A" w:rsidRPr="0069620F">
      <w:rPr>
        <w:rFonts w:ascii="Arial" w:hAnsi="Arial" w:cs="Arial"/>
        <w:sz w:val="20"/>
        <w:szCs w:val="20"/>
      </w:rPr>
      <w:t>18</w:t>
    </w:r>
    <w:r w:rsidRPr="0069620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42AB" w14:textId="77777777" w:rsidR="00182AE1" w:rsidRDefault="00182AE1">
      <w:r>
        <w:separator/>
      </w:r>
    </w:p>
  </w:footnote>
  <w:footnote w:type="continuationSeparator" w:id="0">
    <w:p w14:paraId="7732A091" w14:textId="77777777" w:rsidR="00182AE1" w:rsidRDefault="00182AE1">
      <w:r>
        <w:continuationSeparator/>
      </w:r>
    </w:p>
  </w:footnote>
  <w:footnote w:id="1">
    <w:p w14:paraId="5B54AE35" w14:textId="77777777" w:rsidR="00B83FB1" w:rsidRDefault="00B83FB1" w:rsidP="00B83FB1">
      <w:pPr>
        <w:pStyle w:val="Textpoznpodarou"/>
      </w:pPr>
      <w:r>
        <w:rPr>
          <w:rStyle w:val="Znakapoznpodarou"/>
        </w:rPr>
        <w:footnoteRef/>
      </w:r>
      <w:r>
        <w:t xml:space="preserve"> Baxa, J. a kolektiv; </w:t>
      </w:r>
      <w:r w:rsidRPr="00CA43CD">
        <w:t xml:space="preserve">Daňový řád </w:t>
      </w:r>
      <w:r>
        <w:t>–</w:t>
      </w:r>
      <w:r w:rsidRPr="00CA43CD">
        <w:t xml:space="preserve"> Komentář</w:t>
      </w:r>
      <w:r>
        <w:t xml:space="preserve">; září 2011; nakladatelství </w:t>
      </w:r>
      <w:r w:rsidRPr="00CA43CD">
        <w:t>Wolters Kluwer</w:t>
      </w:r>
      <w:r>
        <w:t xml:space="preserve">; ISBN </w:t>
      </w:r>
      <w:r w:rsidRPr="00CA43CD">
        <w:t>978-80-7357-564-9</w:t>
      </w:r>
    </w:p>
  </w:footnote>
  <w:footnote w:id="2">
    <w:p w14:paraId="5AAC1313" w14:textId="77777777" w:rsidR="00B83FB1" w:rsidRDefault="00B83FB1" w:rsidP="00B83FB1">
      <w:pPr>
        <w:pStyle w:val="Textpoznpodarou"/>
        <w:jc w:val="both"/>
      </w:pPr>
      <w:r>
        <w:rPr>
          <w:rStyle w:val="Znakapoznpodarou"/>
        </w:rPr>
        <w:footnoteRef/>
      </w:r>
      <w:r>
        <w:t xml:space="preserve"> Lichnovský, O., Ondrýsek, R., Nováková, P., Kostolanská, E., Rozehnal, T. Daňový řád. Komentář. 5. vydání. Praha: C.H.Beck, 2024.</w:t>
      </w:r>
    </w:p>
  </w:footnote>
  <w:footnote w:id="3">
    <w:p w14:paraId="1664A85B" w14:textId="77777777" w:rsidR="00B83FB1" w:rsidRDefault="00B83FB1" w:rsidP="00B83FB1">
      <w:pPr>
        <w:pStyle w:val="Textpoznpodarou"/>
      </w:pPr>
      <w:r>
        <w:rPr>
          <w:rStyle w:val="Znakapoznpodarou"/>
        </w:rPr>
        <w:footnoteRef/>
      </w:r>
      <w:r>
        <w:t xml:space="preserve"> Matyášová, L., Grossová, M.E.; </w:t>
      </w:r>
      <w:r w:rsidRPr="00CA43CD">
        <w:t>Daňový řád s komentářem a judikaturou - 2. aktualizované a doplněné vydání</w:t>
      </w:r>
      <w:r>
        <w:t xml:space="preserve">; srpen 2015; nakladatelství Leges; ISBN </w:t>
      </w:r>
      <w:r w:rsidRPr="00CA43CD">
        <w:t>978-80-7502-081-9</w:t>
      </w:r>
      <w:r>
        <w:t xml:space="preserve">. </w:t>
      </w:r>
    </w:p>
  </w:footnote>
  <w:footnote w:id="4">
    <w:p w14:paraId="2E9B667A" w14:textId="77777777" w:rsidR="00B83FB1" w:rsidRDefault="00B83FB1" w:rsidP="00B83FB1">
      <w:pPr>
        <w:pStyle w:val="Textpoznpodarou"/>
      </w:pPr>
      <w:r>
        <w:rPr>
          <w:rStyle w:val="Znakapoznpodarou"/>
        </w:rPr>
        <w:footnoteRef/>
      </w:r>
      <w:r>
        <w:t xml:space="preserve"> Baxa, J. a kolektiv; </w:t>
      </w:r>
      <w:r w:rsidRPr="00CA43CD">
        <w:t xml:space="preserve">Daňový řád </w:t>
      </w:r>
      <w:r>
        <w:t>–</w:t>
      </w:r>
      <w:r w:rsidRPr="00CA43CD">
        <w:t xml:space="preserve"> Komentář</w:t>
      </w:r>
      <w:r>
        <w:t xml:space="preserve">; září 2011; nakladatelství </w:t>
      </w:r>
      <w:r w:rsidRPr="00CA43CD">
        <w:t>Wolters Kluwer</w:t>
      </w:r>
      <w:r>
        <w:t xml:space="preserve">; ISBN </w:t>
      </w:r>
      <w:r w:rsidRPr="00CA43CD">
        <w:t>978-80-7357-564-9</w:t>
      </w:r>
    </w:p>
  </w:footnote>
  <w:footnote w:id="5">
    <w:p w14:paraId="1AB731BC" w14:textId="77777777" w:rsidR="00B83FB1" w:rsidRDefault="00B83FB1" w:rsidP="00B83FB1">
      <w:pPr>
        <w:pStyle w:val="Textpoznpodarou"/>
      </w:pPr>
      <w:r>
        <w:rPr>
          <w:rStyle w:val="Znakapoznpodarou"/>
        </w:rPr>
        <w:footnoteRef/>
      </w:r>
      <w:r>
        <w:t xml:space="preserve"> Alexa, K.; Prodloužení lhůty pro stanovení daně; září 2013; časopis Právník 9/2013; str. 883-894; Dostupné z: </w:t>
      </w:r>
      <w:r w:rsidRPr="002F1F7D">
        <w:t>https://www.ilaw.cas.cz/casopisy-a-knihy/casopisy/casopis-pravnik/archiv/2013/2013-9.html?a=2823</w:t>
      </w:r>
      <w:r>
        <w:t xml:space="preserve"> </w:t>
      </w:r>
    </w:p>
  </w:footnote>
  <w:footnote w:id="6">
    <w:p w14:paraId="00FBC3DB" w14:textId="77777777" w:rsidR="00B83FB1" w:rsidRDefault="00B83FB1" w:rsidP="00B83FB1">
      <w:pPr>
        <w:pStyle w:val="Textpoznpodarou"/>
      </w:pPr>
      <w:r>
        <w:rPr>
          <w:rStyle w:val="Znakapoznpodarou"/>
        </w:rPr>
        <w:footnoteRef/>
      </w:r>
      <w:r>
        <w:t xml:space="preserve"> Baxa, J. a kolektiv; </w:t>
      </w:r>
      <w:r w:rsidRPr="00CA43CD">
        <w:t xml:space="preserve">Daňový řád </w:t>
      </w:r>
      <w:r>
        <w:t>–</w:t>
      </w:r>
      <w:r w:rsidRPr="00CA43CD">
        <w:t xml:space="preserve"> Komentář</w:t>
      </w:r>
      <w:r>
        <w:t xml:space="preserve">; září 2011; nakladatelství </w:t>
      </w:r>
      <w:r w:rsidRPr="00CA43CD">
        <w:t>Wolters Kluwer</w:t>
      </w:r>
      <w:r>
        <w:t xml:space="preserve">; ISBN </w:t>
      </w:r>
      <w:r w:rsidRPr="00CA43CD">
        <w:t>978-80-7357-564-9</w:t>
      </w:r>
    </w:p>
  </w:footnote>
  <w:footnote w:id="7">
    <w:p w14:paraId="455921DF" w14:textId="5A67163E" w:rsidR="00950E6B" w:rsidRDefault="00950E6B" w:rsidP="00950E6B">
      <w:pPr>
        <w:pStyle w:val="Textpoznpodarou"/>
        <w:jc w:val="both"/>
      </w:pPr>
      <w:r w:rsidRPr="00793CC2">
        <w:rPr>
          <w:rStyle w:val="Znakapoznpodarou"/>
        </w:rPr>
        <w:footnoteRef/>
      </w:r>
      <w:r w:rsidRPr="00793CC2">
        <w:t xml:space="preserve"> </w:t>
      </w:r>
      <w:r w:rsidRPr="00793CC2">
        <w:rPr>
          <w:rFonts w:ascii="Arial" w:hAnsi="Arial" w:cs="Arial"/>
        </w:rPr>
        <w:t xml:space="preserve">Vyšší administrativní náročnost, náklady na doručování, vnímání </w:t>
      </w:r>
      <w:r w:rsidR="00522F96" w:rsidRPr="00793CC2">
        <w:rPr>
          <w:rFonts w:ascii="Arial" w:hAnsi="Arial" w:cs="Arial"/>
        </w:rPr>
        <w:t xml:space="preserve">doručování ze strany </w:t>
      </w:r>
      <w:r w:rsidRPr="00793CC2">
        <w:rPr>
          <w:rFonts w:ascii="Arial" w:hAnsi="Arial" w:cs="Arial"/>
        </w:rPr>
        <w:t>některých daňových sub</w:t>
      </w:r>
      <w:r w:rsidR="00522F96" w:rsidRPr="00793CC2">
        <w:rPr>
          <w:rFonts w:ascii="Arial" w:hAnsi="Arial" w:cs="Arial"/>
        </w:rPr>
        <w:t>je</w:t>
      </w:r>
      <w:r w:rsidRPr="00793CC2">
        <w:rPr>
          <w:rFonts w:ascii="Arial" w:hAnsi="Arial" w:cs="Arial"/>
        </w:rPr>
        <w:t>k</w:t>
      </w:r>
      <w:r w:rsidR="0046154A" w:rsidRPr="00793CC2">
        <w:rPr>
          <w:rFonts w:ascii="Arial" w:hAnsi="Arial" w:cs="Arial"/>
        </w:rPr>
        <w:t>t</w:t>
      </w:r>
      <w:r w:rsidRPr="00793CC2">
        <w:rPr>
          <w:rFonts w:ascii="Arial" w:hAnsi="Arial" w:cs="Arial"/>
        </w:rPr>
        <w:t>ů jako „zbytečné</w:t>
      </w:r>
      <w:r w:rsidR="00522F96" w:rsidRPr="00793CC2">
        <w:rPr>
          <w:rFonts w:ascii="Arial" w:hAnsi="Arial" w:cs="Arial"/>
        </w:rPr>
        <w:t>ho</w:t>
      </w:r>
      <w:r w:rsidRPr="00793CC2">
        <w:rPr>
          <w:rFonts w:ascii="Arial" w:hAnsi="Arial" w:cs="Arial"/>
        </w:rPr>
        <w:t xml:space="preserve"> obtěžování“ správce</w:t>
      </w:r>
      <w:r w:rsidR="00522F96" w:rsidRPr="00793CC2">
        <w:rPr>
          <w:rFonts w:ascii="Arial" w:hAnsi="Arial" w:cs="Arial"/>
        </w:rPr>
        <w:t>m</w:t>
      </w:r>
      <w:r w:rsidRPr="00793CC2">
        <w:rPr>
          <w:rFonts w:ascii="Arial" w:hAnsi="Arial" w:cs="Arial"/>
        </w:rPr>
        <w:t xml:space="preserve"> daně atd.</w:t>
      </w:r>
    </w:p>
  </w:footnote>
  <w:footnote w:id="8">
    <w:p w14:paraId="619E61B6" w14:textId="69B02D99" w:rsidR="002734FD" w:rsidRPr="00793CC2" w:rsidRDefault="002734FD" w:rsidP="002734FD">
      <w:pPr>
        <w:pStyle w:val="Textpoznpodarou"/>
        <w:jc w:val="both"/>
        <w:rPr>
          <w:rFonts w:ascii="Arial" w:hAnsi="Arial" w:cs="Arial"/>
        </w:rPr>
      </w:pPr>
      <w:r w:rsidRPr="00793CC2">
        <w:rPr>
          <w:rStyle w:val="Znakapoznpodarou"/>
          <w:rFonts w:ascii="Arial" w:hAnsi="Arial" w:cs="Arial"/>
        </w:rPr>
        <w:footnoteRef/>
      </w:r>
      <w:r w:rsidRPr="00793CC2">
        <w:rPr>
          <w:rFonts w:ascii="Arial" w:hAnsi="Arial" w:cs="Arial"/>
        </w:rPr>
        <w:t xml:space="preserve"> Nevyzvedne-li si adresát uloženou písemnost ve lhůtě 10 dnů od jejího uložení, považuje se písemnost posledním dnem této lhůty za doručenou, i když se adresát o uložení nedozvěděl.</w:t>
      </w:r>
    </w:p>
  </w:footnote>
  <w:footnote w:id="9">
    <w:p w14:paraId="52BDC8FD" w14:textId="41AA5665" w:rsidR="001A6488" w:rsidRPr="00793CC2" w:rsidRDefault="001A6488">
      <w:pPr>
        <w:pStyle w:val="Textpoznpodarou"/>
        <w:rPr>
          <w:rFonts w:ascii="Arial" w:hAnsi="Arial" w:cs="Arial"/>
        </w:rPr>
      </w:pPr>
      <w:r w:rsidRPr="00793CC2">
        <w:rPr>
          <w:rStyle w:val="Znakapoznpodarou"/>
          <w:rFonts w:ascii="Arial" w:hAnsi="Arial" w:cs="Arial"/>
        </w:rPr>
        <w:footnoteRef/>
      </w:r>
      <w:r w:rsidRPr="00793CC2">
        <w:rPr>
          <w:rFonts w:ascii="Arial" w:hAnsi="Arial" w:cs="Arial"/>
        </w:rPr>
        <w:t xml:space="preserve"> </w:t>
      </w:r>
      <w:hyperlink r:id="rId1" w:history="1">
        <w:r w:rsidRPr="00793CC2">
          <w:rPr>
            <w:rStyle w:val="Hypertextovodkaz"/>
            <w:rFonts w:ascii="Arial" w:hAnsi="Arial" w:cs="Arial"/>
            <w:b w:val="0"/>
            <w:bCs w:val="0"/>
          </w:rPr>
          <w:t>https://vyhledavac.nssoud.cz/DokumentOriginal/Index/640760</w:t>
        </w:r>
      </w:hyperlink>
      <w:r w:rsidR="002922EB" w:rsidRPr="00793CC2">
        <w:rPr>
          <w:rStyle w:val="Hypertextovodkaz"/>
          <w:rFonts w:ascii="Arial" w:hAnsi="Arial" w:cs="Arial"/>
          <w:b w:val="0"/>
          <w:bCs w:val="0"/>
        </w:rPr>
        <w:t xml:space="preserve"> </w:t>
      </w:r>
      <w:r w:rsidRPr="00793CC2">
        <w:rPr>
          <w:rFonts w:ascii="Arial" w:hAnsi="Arial" w:cs="Arial"/>
          <w:b/>
          <w:bCs/>
        </w:rPr>
        <w:t xml:space="preserve"> </w:t>
      </w:r>
    </w:p>
  </w:footnote>
  <w:footnote w:id="10">
    <w:p w14:paraId="71830122" w14:textId="7E191414" w:rsidR="00287C7C" w:rsidRPr="00793CC2" w:rsidRDefault="00287C7C" w:rsidP="00D518CF">
      <w:pPr>
        <w:pStyle w:val="Textpoznpodarou"/>
        <w:jc w:val="both"/>
        <w:rPr>
          <w:rFonts w:ascii="Arial" w:hAnsi="Arial" w:cs="Arial"/>
        </w:rPr>
      </w:pPr>
      <w:r w:rsidRPr="00793CC2">
        <w:rPr>
          <w:rStyle w:val="Znakapoznpodarou"/>
          <w:rFonts w:ascii="Arial" w:hAnsi="Arial" w:cs="Arial"/>
        </w:rPr>
        <w:footnoteRef/>
      </w:r>
      <w:r w:rsidRPr="00793CC2">
        <w:rPr>
          <w:rFonts w:ascii="Arial" w:hAnsi="Arial" w:cs="Arial"/>
        </w:rPr>
        <w:t xml:space="preserve"> Rozsudek se sice primárně týká výkladu správního řádu, avšak lze z něho dovodit, že úvahy směřují i k výkladu právní fikce dle daňového řádu, viz bod 23. rozsudku.</w:t>
      </w:r>
    </w:p>
  </w:footnote>
  <w:footnote w:id="11">
    <w:p w14:paraId="60FF8E7A" w14:textId="05F9B206" w:rsidR="00693D1F" w:rsidRPr="00793CC2" w:rsidRDefault="00693D1F">
      <w:pPr>
        <w:pStyle w:val="Textpoznpodarou"/>
        <w:rPr>
          <w:rFonts w:ascii="Arial" w:hAnsi="Arial" w:cs="Arial"/>
        </w:rPr>
      </w:pPr>
      <w:r w:rsidRPr="00793CC2">
        <w:rPr>
          <w:rStyle w:val="Znakapoznpodarou"/>
          <w:rFonts w:ascii="Arial" w:hAnsi="Arial" w:cs="Arial"/>
        </w:rPr>
        <w:footnoteRef/>
      </w:r>
      <w:r w:rsidRPr="00793CC2">
        <w:rPr>
          <w:rFonts w:ascii="Arial" w:hAnsi="Arial" w:cs="Arial"/>
        </w:rPr>
        <w:t xml:space="preserve"> Mimo jiné s ohledem na případnou eliminaci korupčního rizika.</w:t>
      </w:r>
    </w:p>
  </w:footnote>
  <w:footnote w:id="12">
    <w:p w14:paraId="5CBC0A60" w14:textId="2D1C0C11" w:rsidR="00693D1F" w:rsidRPr="00793CC2" w:rsidRDefault="00693D1F">
      <w:pPr>
        <w:pStyle w:val="Textpoznpodarou"/>
        <w:rPr>
          <w:rFonts w:ascii="Arial" w:hAnsi="Arial" w:cs="Arial"/>
        </w:rPr>
      </w:pPr>
      <w:r w:rsidRPr="00793CC2">
        <w:rPr>
          <w:rStyle w:val="Znakapoznpodarou"/>
          <w:rFonts w:ascii="Arial" w:hAnsi="Arial" w:cs="Arial"/>
        </w:rPr>
        <w:footnoteRef/>
      </w:r>
      <w:r w:rsidRPr="00793CC2">
        <w:rPr>
          <w:rFonts w:ascii="Arial" w:hAnsi="Arial" w:cs="Arial"/>
        </w:rPr>
        <w:t xml:space="preserve"> Např. v návaznosti na následnou změnu judikatury.</w:t>
      </w:r>
    </w:p>
  </w:footnote>
  <w:footnote w:id="13">
    <w:p w14:paraId="7336B4F0" w14:textId="7A794025" w:rsidR="0097532A" w:rsidRDefault="0097532A" w:rsidP="00D518CF">
      <w:pPr>
        <w:pStyle w:val="Textpoznpodarou"/>
        <w:jc w:val="both"/>
      </w:pPr>
      <w:r w:rsidRPr="00793CC2">
        <w:rPr>
          <w:rStyle w:val="Znakapoznpodarou"/>
          <w:rFonts w:ascii="Arial" w:hAnsi="Arial" w:cs="Arial"/>
        </w:rPr>
        <w:footnoteRef/>
      </w:r>
      <w:r w:rsidRPr="00793CC2">
        <w:rPr>
          <w:rFonts w:ascii="Arial" w:hAnsi="Arial" w:cs="Arial"/>
        </w:rPr>
        <w:t xml:space="preserve"> Srovnej zejména usnesení rozšířeného senátu Nejvyššího správního soudu č. j. 2 Afs 52/2005-94 ze dne 16. 5. 2006</w:t>
      </w:r>
      <w:r w:rsidR="00287C7C" w:rsidRPr="00793CC2">
        <w:rPr>
          <w:rFonts w:ascii="Arial" w:hAnsi="Arial" w:cs="Arial"/>
        </w:rPr>
        <w:t xml:space="preserve">, </w:t>
      </w:r>
      <w:hyperlink r:id="rId2" w:history="1">
        <w:r w:rsidR="00287C7C" w:rsidRPr="00793CC2">
          <w:rPr>
            <w:rStyle w:val="Hypertextovodkaz"/>
            <w:rFonts w:ascii="Arial" w:hAnsi="Arial" w:cs="Arial"/>
            <w:b w:val="0"/>
            <w:bCs w:val="0"/>
          </w:rPr>
          <w:t>https://vyhledavac.nssoud.cz/DokumentOriginal/Index/610111</w:t>
        </w:r>
      </w:hyperlink>
      <w:r w:rsidRPr="00793CC2">
        <w:rPr>
          <w:rFonts w:ascii="Arial" w:hAnsi="Arial" w:cs="Arial"/>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F085" w14:textId="5DE8468F" w:rsidR="00AA4169" w:rsidRPr="0069620F" w:rsidRDefault="00AA4169" w:rsidP="00420FCE">
    <w:pPr>
      <w:pStyle w:val="Zhlav"/>
      <w:pBdr>
        <w:bottom w:val="single" w:sz="4" w:space="1" w:color="auto"/>
      </w:pBdr>
      <w:rPr>
        <w:rFonts w:ascii="Arial" w:hAnsi="Arial" w:cs="Arial"/>
        <w:sz w:val="20"/>
        <w:szCs w:val="20"/>
      </w:rPr>
    </w:pPr>
    <w:r w:rsidRPr="0069620F">
      <w:rPr>
        <w:rFonts w:ascii="Arial" w:hAnsi="Arial" w:cs="Arial"/>
        <w:sz w:val="20"/>
        <w:szCs w:val="20"/>
      </w:rPr>
      <w:t>11.12.2024</w:t>
    </w:r>
    <w:r w:rsidRPr="0069620F">
      <w:rPr>
        <w:rFonts w:ascii="Arial" w:hAnsi="Arial" w:cs="Arial"/>
        <w:sz w:val="20"/>
        <w:szCs w:val="20"/>
      </w:rPr>
      <w:tab/>
    </w:r>
    <w:r w:rsidRPr="0069620F">
      <w:rPr>
        <w:rFonts w:ascii="Arial" w:hAnsi="Arial" w:cs="Arial"/>
        <w:sz w:val="20"/>
        <w:szCs w:val="20"/>
      </w:rPr>
      <w:tab/>
    </w:r>
    <w:r w:rsidRPr="0069620F">
      <w:rPr>
        <w:rFonts w:ascii="Arial" w:hAnsi="Arial" w:cs="Arial"/>
        <w:sz w:val="20"/>
        <w:szCs w:val="20"/>
      </w:rPr>
      <w:tab/>
      <w:t>Koordinační výbor 12/24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A35B7F"/>
    <w:multiLevelType w:val="hybridMultilevel"/>
    <w:tmpl w:val="06D6BAB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B329F5"/>
    <w:multiLevelType w:val="hybridMultilevel"/>
    <w:tmpl w:val="DE120796"/>
    <w:lvl w:ilvl="0" w:tplc="5098604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2C458CD"/>
    <w:multiLevelType w:val="hybridMultilevel"/>
    <w:tmpl w:val="5E6CEAEA"/>
    <w:lvl w:ilvl="0" w:tplc="0405000F">
      <w:start w:val="1"/>
      <w:numFmt w:val="decimal"/>
      <w:lvlText w:val="%1."/>
      <w:lvlJc w:val="left"/>
      <w:pPr>
        <w:ind w:left="720" w:hanging="360"/>
      </w:pPr>
    </w:lvl>
    <w:lvl w:ilvl="1" w:tplc="C3841AAE">
      <w:numFmt w:val="bullet"/>
      <w:lvlText w:val=""/>
      <w:lvlJc w:val="left"/>
      <w:pPr>
        <w:ind w:left="1780" w:hanging="700"/>
      </w:pPr>
      <w:rPr>
        <w:rFonts w:ascii="Symbol" w:eastAsiaTheme="minorHAnsi" w:hAnsi="Symbol" w:cs="ArialMT"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7"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06DB2849"/>
    <w:multiLevelType w:val="hybridMultilevel"/>
    <w:tmpl w:val="6A024034"/>
    <w:lvl w:ilvl="0" w:tplc="040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8294A9F"/>
    <w:multiLevelType w:val="multilevel"/>
    <w:tmpl w:val="2B08173E"/>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440" w:hanging="108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800" w:hanging="144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2160" w:hanging="180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10"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B236435"/>
    <w:multiLevelType w:val="hybridMultilevel"/>
    <w:tmpl w:val="F4C61356"/>
    <w:lvl w:ilvl="0" w:tplc="EBEC4162">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7" w15:restartNumberingAfterBreak="0">
    <w:nsid w:val="1AEC04F3"/>
    <w:multiLevelType w:val="multilevel"/>
    <w:tmpl w:val="D3086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5C65FE8"/>
    <w:multiLevelType w:val="hybridMultilevel"/>
    <w:tmpl w:val="CDCECF2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1"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3"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5"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6"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7"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922807"/>
    <w:multiLevelType w:val="hybridMultilevel"/>
    <w:tmpl w:val="AABECA6C"/>
    <w:lvl w:ilvl="0" w:tplc="644060A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760795"/>
    <w:multiLevelType w:val="hybridMultilevel"/>
    <w:tmpl w:val="43128780"/>
    <w:lvl w:ilvl="0" w:tplc="EBEC416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BD32A15"/>
    <w:multiLevelType w:val="hybridMultilevel"/>
    <w:tmpl w:val="E728A2A6"/>
    <w:lvl w:ilvl="0" w:tplc="26340F24">
      <w:start w:val="1"/>
      <w:numFmt w:val="decimal"/>
      <w:lvlText w:val="%1."/>
      <w:lvlJc w:val="left"/>
      <w:pPr>
        <w:ind w:left="720" w:hanging="360"/>
      </w:pPr>
      <w:rPr>
        <w:rFonts w:hint="default"/>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949F6"/>
    <w:multiLevelType w:val="multilevel"/>
    <w:tmpl w:val="5FCCAF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52F2E91"/>
    <w:multiLevelType w:val="hybridMultilevel"/>
    <w:tmpl w:val="9A067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5" w15:restartNumberingAfterBreak="0">
    <w:nsid w:val="56AB2C60"/>
    <w:multiLevelType w:val="hybridMultilevel"/>
    <w:tmpl w:val="13341C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6AC56C0"/>
    <w:multiLevelType w:val="hybridMultilevel"/>
    <w:tmpl w:val="02282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8"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9" w15:restartNumberingAfterBreak="0">
    <w:nsid w:val="5C574C1C"/>
    <w:multiLevelType w:val="hybridMultilevel"/>
    <w:tmpl w:val="3C44630E"/>
    <w:lvl w:ilvl="0" w:tplc="0405000F">
      <w:start w:val="1"/>
      <w:numFmt w:val="decimal"/>
      <w:lvlText w:val="%1."/>
      <w:lvlJc w:val="left"/>
      <w:pPr>
        <w:ind w:left="720" w:hanging="360"/>
      </w:pPr>
    </w:lvl>
    <w:lvl w:ilvl="1" w:tplc="B05AEFF2">
      <w:start w:val="1"/>
      <w:numFmt w:val="decimal"/>
      <w:lvlText w:val="%2."/>
      <w:lvlJc w:val="left"/>
      <w:pPr>
        <w:ind w:left="1440" w:hanging="360"/>
      </w:pPr>
      <w:rPr>
        <w:rFonts w:hint="default"/>
      </w:rPr>
    </w:lvl>
    <w:lvl w:ilvl="2" w:tplc="6ECE40CC">
      <w:start w:val="1"/>
      <w:numFmt w:val="lowerRoman"/>
      <w:lvlText w:val="(%3)"/>
      <w:lvlJc w:val="left"/>
      <w:pPr>
        <w:ind w:left="2700" w:hanging="720"/>
      </w:pPr>
      <w:rPr>
        <w:rFonts w:hint="default"/>
        <w:color w:val="FF000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5F8F4142"/>
    <w:multiLevelType w:val="multilevel"/>
    <w:tmpl w:val="706A283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3"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6"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7"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69D54CDA"/>
    <w:multiLevelType w:val="hybridMultilevel"/>
    <w:tmpl w:val="AA8C47E0"/>
    <w:lvl w:ilvl="0" w:tplc="6C8E064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0"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51" w15:restartNumberingAfterBreak="0">
    <w:nsid w:val="7982352C"/>
    <w:multiLevelType w:val="hybridMultilevel"/>
    <w:tmpl w:val="406CD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7"/>
  </w:num>
  <w:num w:numId="3">
    <w:abstractNumId w:val="2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9"/>
  </w:num>
  <w:num w:numId="7">
    <w:abstractNumId w:val="25"/>
  </w:num>
  <w:num w:numId="8">
    <w:abstractNumId w:val="10"/>
  </w:num>
  <w:num w:numId="9">
    <w:abstractNumId w:val="15"/>
  </w:num>
  <w:num w:numId="10">
    <w:abstractNumId w:val="44"/>
  </w:num>
  <w:num w:numId="11">
    <w:abstractNumId w:val="46"/>
  </w:num>
  <w:num w:numId="12">
    <w:abstractNumId w:val="45"/>
  </w:num>
  <w:num w:numId="13">
    <w:abstractNumId w:val="23"/>
  </w:num>
  <w:num w:numId="14">
    <w:abstractNumId w:val="47"/>
  </w:num>
  <w:num w:numId="15">
    <w:abstractNumId w:val="13"/>
  </w:num>
  <w:num w:numId="16">
    <w:abstractNumId w:val="37"/>
  </w:num>
  <w:num w:numId="17">
    <w:abstractNumId w:val="40"/>
  </w:num>
  <w:num w:numId="18">
    <w:abstractNumId w:val="42"/>
  </w:num>
  <w:num w:numId="19">
    <w:abstractNumId w:val="22"/>
  </w:num>
  <w:num w:numId="20">
    <w:abstractNumId w:val="14"/>
  </w:num>
  <w:num w:numId="21">
    <w:abstractNumId w:val="30"/>
  </w:num>
  <w:num w:numId="22">
    <w:abstractNumId w:val="34"/>
  </w:num>
  <w:num w:numId="23">
    <w:abstractNumId w:val="5"/>
  </w:num>
  <w:num w:numId="24">
    <w:abstractNumId w:val="0"/>
  </w:num>
  <w:num w:numId="25">
    <w:abstractNumId w:val="52"/>
  </w:num>
  <w:num w:numId="26">
    <w:abstractNumId w:val="11"/>
  </w:num>
  <w:num w:numId="27">
    <w:abstractNumId w:val="27"/>
  </w:num>
  <w:num w:numId="28">
    <w:abstractNumId w:val="38"/>
  </w:num>
  <w:num w:numId="29">
    <w:abstractNumId w:val="26"/>
  </w:num>
  <w:num w:numId="30">
    <w:abstractNumId w:val="43"/>
  </w:num>
  <w:num w:numId="31">
    <w:abstractNumId w:val="32"/>
  </w:num>
  <w:num w:numId="32">
    <w:abstractNumId w:val="3"/>
  </w:num>
  <w:num w:numId="33">
    <w:abstractNumId w:val="18"/>
  </w:num>
  <w:num w:numId="34">
    <w:abstractNumId w:val="51"/>
  </w:num>
  <w:num w:numId="35">
    <w:abstractNumId w:val="48"/>
  </w:num>
  <w:num w:numId="36">
    <w:abstractNumId w:val="36"/>
  </w:num>
  <w:num w:numId="37">
    <w:abstractNumId w:val="33"/>
  </w:num>
  <w:num w:numId="38">
    <w:abstractNumId w:val="17"/>
  </w:num>
  <w:num w:numId="39">
    <w:abstractNumId w:val="39"/>
  </w:num>
  <w:num w:numId="40">
    <w:abstractNumId w:val="12"/>
  </w:num>
  <w:num w:numId="41">
    <w:abstractNumId w:val="28"/>
  </w:num>
  <w:num w:numId="42">
    <w:abstractNumId w:val="31"/>
  </w:num>
  <w:num w:numId="43">
    <w:abstractNumId w:val="8"/>
  </w:num>
  <w:num w:numId="44">
    <w:abstractNumId w:val="4"/>
  </w:num>
  <w:num w:numId="45">
    <w:abstractNumId w:val="2"/>
  </w:num>
  <w:num w:numId="46">
    <w:abstractNumId w:val="29"/>
  </w:num>
  <w:num w:numId="47">
    <w:abstractNumId w:val="35"/>
  </w:num>
  <w:num w:numId="48">
    <w:abstractNumId w:val="41"/>
  </w:num>
  <w:num w:numId="49">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1EA5"/>
    <w:rsid w:val="00034EB1"/>
    <w:rsid w:val="000360A0"/>
    <w:rsid w:val="00037D33"/>
    <w:rsid w:val="00040536"/>
    <w:rsid w:val="000410E2"/>
    <w:rsid w:val="00041ADD"/>
    <w:rsid w:val="00042B68"/>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801C6"/>
    <w:rsid w:val="000805C1"/>
    <w:rsid w:val="00086036"/>
    <w:rsid w:val="00086EB3"/>
    <w:rsid w:val="000906AA"/>
    <w:rsid w:val="000929DA"/>
    <w:rsid w:val="00094281"/>
    <w:rsid w:val="0009712C"/>
    <w:rsid w:val="000972F3"/>
    <w:rsid w:val="00097FA7"/>
    <w:rsid w:val="000A100C"/>
    <w:rsid w:val="000A1E44"/>
    <w:rsid w:val="000A224D"/>
    <w:rsid w:val="000A2C41"/>
    <w:rsid w:val="000A3D68"/>
    <w:rsid w:val="000A4D55"/>
    <w:rsid w:val="000A4ED1"/>
    <w:rsid w:val="000A56D3"/>
    <w:rsid w:val="000A6294"/>
    <w:rsid w:val="000A6DE8"/>
    <w:rsid w:val="000A76FE"/>
    <w:rsid w:val="000B2570"/>
    <w:rsid w:val="000B3326"/>
    <w:rsid w:val="000B36C5"/>
    <w:rsid w:val="000B3D1E"/>
    <w:rsid w:val="000B5510"/>
    <w:rsid w:val="000B6488"/>
    <w:rsid w:val="000C1028"/>
    <w:rsid w:val="000C3DD3"/>
    <w:rsid w:val="000C41C2"/>
    <w:rsid w:val="000C43BD"/>
    <w:rsid w:val="000C44B1"/>
    <w:rsid w:val="000C714D"/>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5772"/>
    <w:rsid w:val="001477D2"/>
    <w:rsid w:val="00147851"/>
    <w:rsid w:val="0014793F"/>
    <w:rsid w:val="001509DB"/>
    <w:rsid w:val="00150C0D"/>
    <w:rsid w:val="00150E6D"/>
    <w:rsid w:val="00153EFF"/>
    <w:rsid w:val="0015427A"/>
    <w:rsid w:val="00154303"/>
    <w:rsid w:val="00154599"/>
    <w:rsid w:val="00156626"/>
    <w:rsid w:val="00156BBD"/>
    <w:rsid w:val="00156FEA"/>
    <w:rsid w:val="001607E0"/>
    <w:rsid w:val="00161D05"/>
    <w:rsid w:val="00163F20"/>
    <w:rsid w:val="001724A7"/>
    <w:rsid w:val="001728C6"/>
    <w:rsid w:val="001775B0"/>
    <w:rsid w:val="0018112D"/>
    <w:rsid w:val="00182AE1"/>
    <w:rsid w:val="0018327B"/>
    <w:rsid w:val="001848DC"/>
    <w:rsid w:val="00184A6E"/>
    <w:rsid w:val="0018665D"/>
    <w:rsid w:val="00186FC0"/>
    <w:rsid w:val="00187625"/>
    <w:rsid w:val="00191EF4"/>
    <w:rsid w:val="00192C85"/>
    <w:rsid w:val="00195FB3"/>
    <w:rsid w:val="001A1EE7"/>
    <w:rsid w:val="001A61D6"/>
    <w:rsid w:val="001A6488"/>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56C0"/>
    <w:rsid w:val="001E62E0"/>
    <w:rsid w:val="001E658E"/>
    <w:rsid w:val="001E7210"/>
    <w:rsid w:val="001F0D2F"/>
    <w:rsid w:val="001F4017"/>
    <w:rsid w:val="001F40DB"/>
    <w:rsid w:val="002007B4"/>
    <w:rsid w:val="00200F92"/>
    <w:rsid w:val="00202088"/>
    <w:rsid w:val="00203388"/>
    <w:rsid w:val="00204FA5"/>
    <w:rsid w:val="0020614A"/>
    <w:rsid w:val="002072D2"/>
    <w:rsid w:val="002109CA"/>
    <w:rsid w:val="00212699"/>
    <w:rsid w:val="00215460"/>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56197"/>
    <w:rsid w:val="00261C75"/>
    <w:rsid w:val="00263379"/>
    <w:rsid w:val="0026354A"/>
    <w:rsid w:val="00263A0A"/>
    <w:rsid w:val="00264D06"/>
    <w:rsid w:val="00267BAA"/>
    <w:rsid w:val="00271DE2"/>
    <w:rsid w:val="00272C1C"/>
    <w:rsid w:val="002734FD"/>
    <w:rsid w:val="00273708"/>
    <w:rsid w:val="0027388B"/>
    <w:rsid w:val="00273FFE"/>
    <w:rsid w:val="0027529F"/>
    <w:rsid w:val="002765E0"/>
    <w:rsid w:val="00282E19"/>
    <w:rsid w:val="002839BC"/>
    <w:rsid w:val="002844F3"/>
    <w:rsid w:val="002876A6"/>
    <w:rsid w:val="00287AF7"/>
    <w:rsid w:val="00287C7C"/>
    <w:rsid w:val="002914CB"/>
    <w:rsid w:val="00291D30"/>
    <w:rsid w:val="00291DB0"/>
    <w:rsid w:val="00291E20"/>
    <w:rsid w:val="002922EB"/>
    <w:rsid w:val="00293FC5"/>
    <w:rsid w:val="00295B04"/>
    <w:rsid w:val="0029687C"/>
    <w:rsid w:val="00296DA1"/>
    <w:rsid w:val="002A4375"/>
    <w:rsid w:val="002A5491"/>
    <w:rsid w:val="002A6011"/>
    <w:rsid w:val="002B147B"/>
    <w:rsid w:val="002B1959"/>
    <w:rsid w:val="002B628F"/>
    <w:rsid w:val="002B7CF6"/>
    <w:rsid w:val="002C09AC"/>
    <w:rsid w:val="002C2837"/>
    <w:rsid w:val="002C4EAF"/>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2F6685"/>
    <w:rsid w:val="00301C38"/>
    <w:rsid w:val="00301DE9"/>
    <w:rsid w:val="00302C76"/>
    <w:rsid w:val="00303CFF"/>
    <w:rsid w:val="0030514B"/>
    <w:rsid w:val="0030541A"/>
    <w:rsid w:val="00305DF1"/>
    <w:rsid w:val="00312683"/>
    <w:rsid w:val="0031351A"/>
    <w:rsid w:val="0032024A"/>
    <w:rsid w:val="00322620"/>
    <w:rsid w:val="00322DB8"/>
    <w:rsid w:val="00324E13"/>
    <w:rsid w:val="00325641"/>
    <w:rsid w:val="00325A8B"/>
    <w:rsid w:val="00326AA1"/>
    <w:rsid w:val="00330400"/>
    <w:rsid w:val="003306F2"/>
    <w:rsid w:val="00336506"/>
    <w:rsid w:val="003402F6"/>
    <w:rsid w:val="00340923"/>
    <w:rsid w:val="00341E5A"/>
    <w:rsid w:val="003420F5"/>
    <w:rsid w:val="00342A3B"/>
    <w:rsid w:val="00343B86"/>
    <w:rsid w:val="00343CDC"/>
    <w:rsid w:val="003460A8"/>
    <w:rsid w:val="00346215"/>
    <w:rsid w:val="00350CDA"/>
    <w:rsid w:val="00351122"/>
    <w:rsid w:val="00352756"/>
    <w:rsid w:val="003528B2"/>
    <w:rsid w:val="0035293C"/>
    <w:rsid w:val="00355931"/>
    <w:rsid w:val="00357313"/>
    <w:rsid w:val="00360B56"/>
    <w:rsid w:val="00361A3D"/>
    <w:rsid w:val="003665F1"/>
    <w:rsid w:val="00366879"/>
    <w:rsid w:val="0036691E"/>
    <w:rsid w:val="00366B5A"/>
    <w:rsid w:val="00366DF1"/>
    <w:rsid w:val="0036707C"/>
    <w:rsid w:val="00367623"/>
    <w:rsid w:val="003700F0"/>
    <w:rsid w:val="003707DF"/>
    <w:rsid w:val="003724FE"/>
    <w:rsid w:val="00374068"/>
    <w:rsid w:val="003757E4"/>
    <w:rsid w:val="00382F87"/>
    <w:rsid w:val="0038440D"/>
    <w:rsid w:val="003853B0"/>
    <w:rsid w:val="003863B2"/>
    <w:rsid w:val="00386AA7"/>
    <w:rsid w:val="0038705E"/>
    <w:rsid w:val="00387FF1"/>
    <w:rsid w:val="0039108A"/>
    <w:rsid w:val="00391CAF"/>
    <w:rsid w:val="003921F8"/>
    <w:rsid w:val="00393BB7"/>
    <w:rsid w:val="003945F3"/>
    <w:rsid w:val="00394889"/>
    <w:rsid w:val="00394EC8"/>
    <w:rsid w:val="003969C7"/>
    <w:rsid w:val="003A1FD1"/>
    <w:rsid w:val="003A26B3"/>
    <w:rsid w:val="003A2FBC"/>
    <w:rsid w:val="003A31ED"/>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0343E"/>
    <w:rsid w:val="00410C1C"/>
    <w:rsid w:val="00410E81"/>
    <w:rsid w:val="0041250E"/>
    <w:rsid w:val="00414B6A"/>
    <w:rsid w:val="0041506B"/>
    <w:rsid w:val="0041651D"/>
    <w:rsid w:val="00420FCE"/>
    <w:rsid w:val="00424DA0"/>
    <w:rsid w:val="00425AC2"/>
    <w:rsid w:val="00426290"/>
    <w:rsid w:val="00431402"/>
    <w:rsid w:val="0043237B"/>
    <w:rsid w:val="004359B0"/>
    <w:rsid w:val="00437880"/>
    <w:rsid w:val="00437AAC"/>
    <w:rsid w:val="00440588"/>
    <w:rsid w:val="00441EDE"/>
    <w:rsid w:val="00443825"/>
    <w:rsid w:val="00445CF1"/>
    <w:rsid w:val="00447512"/>
    <w:rsid w:val="004505FC"/>
    <w:rsid w:val="004524CC"/>
    <w:rsid w:val="00453B02"/>
    <w:rsid w:val="00456F97"/>
    <w:rsid w:val="0046154A"/>
    <w:rsid w:val="0046373B"/>
    <w:rsid w:val="004665A8"/>
    <w:rsid w:val="004677CF"/>
    <w:rsid w:val="004710EB"/>
    <w:rsid w:val="004726EA"/>
    <w:rsid w:val="00474CC4"/>
    <w:rsid w:val="0047643B"/>
    <w:rsid w:val="00476C17"/>
    <w:rsid w:val="004778CD"/>
    <w:rsid w:val="004811CC"/>
    <w:rsid w:val="004813C0"/>
    <w:rsid w:val="00481B5F"/>
    <w:rsid w:val="00483E30"/>
    <w:rsid w:val="004845D3"/>
    <w:rsid w:val="00491963"/>
    <w:rsid w:val="004921A0"/>
    <w:rsid w:val="00492232"/>
    <w:rsid w:val="00492D01"/>
    <w:rsid w:val="00492D22"/>
    <w:rsid w:val="00493409"/>
    <w:rsid w:val="00493590"/>
    <w:rsid w:val="00493EDD"/>
    <w:rsid w:val="00494DB3"/>
    <w:rsid w:val="0049516A"/>
    <w:rsid w:val="00495172"/>
    <w:rsid w:val="00495E13"/>
    <w:rsid w:val="00497153"/>
    <w:rsid w:val="004A462F"/>
    <w:rsid w:val="004A6C03"/>
    <w:rsid w:val="004A7AB8"/>
    <w:rsid w:val="004B085E"/>
    <w:rsid w:val="004B1215"/>
    <w:rsid w:val="004B36DE"/>
    <w:rsid w:val="004B67D9"/>
    <w:rsid w:val="004B799D"/>
    <w:rsid w:val="004C11B7"/>
    <w:rsid w:val="004C3287"/>
    <w:rsid w:val="004C4CEF"/>
    <w:rsid w:val="004C657C"/>
    <w:rsid w:val="004C67BD"/>
    <w:rsid w:val="004D2CAB"/>
    <w:rsid w:val="004D2E06"/>
    <w:rsid w:val="004D3F28"/>
    <w:rsid w:val="004D4CB6"/>
    <w:rsid w:val="004D5E2F"/>
    <w:rsid w:val="004E0BA0"/>
    <w:rsid w:val="004E21E4"/>
    <w:rsid w:val="004E30D2"/>
    <w:rsid w:val="004E5A19"/>
    <w:rsid w:val="004E6028"/>
    <w:rsid w:val="004E78AB"/>
    <w:rsid w:val="004F1458"/>
    <w:rsid w:val="004F254C"/>
    <w:rsid w:val="004F2AA9"/>
    <w:rsid w:val="004F40AA"/>
    <w:rsid w:val="004F4791"/>
    <w:rsid w:val="004F4D30"/>
    <w:rsid w:val="004F6449"/>
    <w:rsid w:val="0050391A"/>
    <w:rsid w:val="00504F36"/>
    <w:rsid w:val="0050531E"/>
    <w:rsid w:val="00507873"/>
    <w:rsid w:val="00507C53"/>
    <w:rsid w:val="00507E41"/>
    <w:rsid w:val="00510519"/>
    <w:rsid w:val="00511F0F"/>
    <w:rsid w:val="005155E4"/>
    <w:rsid w:val="005160A2"/>
    <w:rsid w:val="00516B13"/>
    <w:rsid w:val="00522F96"/>
    <w:rsid w:val="00527147"/>
    <w:rsid w:val="00533254"/>
    <w:rsid w:val="005351E0"/>
    <w:rsid w:val="00536335"/>
    <w:rsid w:val="00543E8D"/>
    <w:rsid w:val="005440FF"/>
    <w:rsid w:val="00546B5C"/>
    <w:rsid w:val="00547DE3"/>
    <w:rsid w:val="00552724"/>
    <w:rsid w:val="005537D8"/>
    <w:rsid w:val="0055403A"/>
    <w:rsid w:val="005545F0"/>
    <w:rsid w:val="00554B31"/>
    <w:rsid w:val="005602D3"/>
    <w:rsid w:val="00563CC5"/>
    <w:rsid w:val="005643BE"/>
    <w:rsid w:val="005659D8"/>
    <w:rsid w:val="00566453"/>
    <w:rsid w:val="0057195C"/>
    <w:rsid w:val="00571F14"/>
    <w:rsid w:val="00574012"/>
    <w:rsid w:val="00574D01"/>
    <w:rsid w:val="005755FA"/>
    <w:rsid w:val="00576525"/>
    <w:rsid w:val="0058118F"/>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B9B"/>
    <w:rsid w:val="005B4CDF"/>
    <w:rsid w:val="005C01CE"/>
    <w:rsid w:val="005C2C1D"/>
    <w:rsid w:val="005C3C3E"/>
    <w:rsid w:val="005C7BBB"/>
    <w:rsid w:val="005D0015"/>
    <w:rsid w:val="005D0E30"/>
    <w:rsid w:val="005D189B"/>
    <w:rsid w:val="005D2213"/>
    <w:rsid w:val="005D2606"/>
    <w:rsid w:val="005D5EE8"/>
    <w:rsid w:val="005D6453"/>
    <w:rsid w:val="005D6BBA"/>
    <w:rsid w:val="005E36AA"/>
    <w:rsid w:val="005E4E2D"/>
    <w:rsid w:val="005E57A5"/>
    <w:rsid w:val="005F0686"/>
    <w:rsid w:val="005F10C7"/>
    <w:rsid w:val="005F7952"/>
    <w:rsid w:val="005F7B49"/>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DB4"/>
    <w:rsid w:val="00625F52"/>
    <w:rsid w:val="00626D10"/>
    <w:rsid w:val="00627DA7"/>
    <w:rsid w:val="00630C07"/>
    <w:rsid w:val="0063355C"/>
    <w:rsid w:val="00640E14"/>
    <w:rsid w:val="0064234E"/>
    <w:rsid w:val="00642DCC"/>
    <w:rsid w:val="006456DD"/>
    <w:rsid w:val="00647AD9"/>
    <w:rsid w:val="006514FC"/>
    <w:rsid w:val="00651F19"/>
    <w:rsid w:val="006622AB"/>
    <w:rsid w:val="00662FE3"/>
    <w:rsid w:val="00664E67"/>
    <w:rsid w:val="00666BA7"/>
    <w:rsid w:val="00671F55"/>
    <w:rsid w:val="006725CA"/>
    <w:rsid w:val="00676440"/>
    <w:rsid w:val="00677663"/>
    <w:rsid w:val="00681406"/>
    <w:rsid w:val="006818D0"/>
    <w:rsid w:val="0068206C"/>
    <w:rsid w:val="00684DA6"/>
    <w:rsid w:val="0069058A"/>
    <w:rsid w:val="00691E34"/>
    <w:rsid w:val="00693D1F"/>
    <w:rsid w:val="006946A7"/>
    <w:rsid w:val="00695119"/>
    <w:rsid w:val="0069620F"/>
    <w:rsid w:val="006965CD"/>
    <w:rsid w:val="00696A0E"/>
    <w:rsid w:val="00696B9D"/>
    <w:rsid w:val="006A2870"/>
    <w:rsid w:val="006A2A31"/>
    <w:rsid w:val="006A2A4C"/>
    <w:rsid w:val="006A64B0"/>
    <w:rsid w:val="006B1B74"/>
    <w:rsid w:val="006B1E44"/>
    <w:rsid w:val="006B47AB"/>
    <w:rsid w:val="006B4871"/>
    <w:rsid w:val="006C2ED4"/>
    <w:rsid w:val="006C396E"/>
    <w:rsid w:val="006C40BB"/>
    <w:rsid w:val="006C59FB"/>
    <w:rsid w:val="006C63EB"/>
    <w:rsid w:val="006C6AB7"/>
    <w:rsid w:val="006C77E8"/>
    <w:rsid w:val="006D2AE8"/>
    <w:rsid w:val="006D3AEE"/>
    <w:rsid w:val="006D57F9"/>
    <w:rsid w:val="006E2DA8"/>
    <w:rsid w:val="006E33B9"/>
    <w:rsid w:val="006E5349"/>
    <w:rsid w:val="006E5F6A"/>
    <w:rsid w:val="006F0161"/>
    <w:rsid w:val="006F06E0"/>
    <w:rsid w:val="006F53E5"/>
    <w:rsid w:val="006F6751"/>
    <w:rsid w:val="006F757D"/>
    <w:rsid w:val="006F7AAC"/>
    <w:rsid w:val="006F7F9C"/>
    <w:rsid w:val="00701DE8"/>
    <w:rsid w:val="00702C97"/>
    <w:rsid w:val="007061CA"/>
    <w:rsid w:val="00707446"/>
    <w:rsid w:val="00717105"/>
    <w:rsid w:val="00721597"/>
    <w:rsid w:val="00722F43"/>
    <w:rsid w:val="00723777"/>
    <w:rsid w:val="007256FC"/>
    <w:rsid w:val="007319B9"/>
    <w:rsid w:val="00734173"/>
    <w:rsid w:val="00735875"/>
    <w:rsid w:val="007365CA"/>
    <w:rsid w:val="007369EF"/>
    <w:rsid w:val="007371AC"/>
    <w:rsid w:val="00740DF9"/>
    <w:rsid w:val="00741814"/>
    <w:rsid w:val="00743247"/>
    <w:rsid w:val="007433AD"/>
    <w:rsid w:val="00744760"/>
    <w:rsid w:val="00745DB6"/>
    <w:rsid w:val="007522CF"/>
    <w:rsid w:val="007539D0"/>
    <w:rsid w:val="00754026"/>
    <w:rsid w:val="00754563"/>
    <w:rsid w:val="00754E9B"/>
    <w:rsid w:val="00757660"/>
    <w:rsid w:val="007612CE"/>
    <w:rsid w:val="00762255"/>
    <w:rsid w:val="00766188"/>
    <w:rsid w:val="007667FB"/>
    <w:rsid w:val="007715AB"/>
    <w:rsid w:val="00771D3F"/>
    <w:rsid w:val="00776EB9"/>
    <w:rsid w:val="00782ED9"/>
    <w:rsid w:val="00783A24"/>
    <w:rsid w:val="00783D59"/>
    <w:rsid w:val="00783F97"/>
    <w:rsid w:val="00784813"/>
    <w:rsid w:val="00787467"/>
    <w:rsid w:val="0079132E"/>
    <w:rsid w:val="00793B1B"/>
    <w:rsid w:val="00793CC2"/>
    <w:rsid w:val="007947DE"/>
    <w:rsid w:val="007A028D"/>
    <w:rsid w:val="007A068C"/>
    <w:rsid w:val="007A1A0A"/>
    <w:rsid w:val="007A25C3"/>
    <w:rsid w:val="007A2937"/>
    <w:rsid w:val="007A37BA"/>
    <w:rsid w:val="007B136A"/>
    <w:rsid w:val="007B6C97"/>
    <w:rsid w:val="007B7797"/>
    <w:rsid w:val="007B7A81"/>
    <w:rsid w:val="007C27AA"/>
    <w:rsid w:val="007C4C5F"/>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4F97"/>
    <w:rsid w:val="007F51B6"/>
    <w:rsid w:val="007F5742"/>
    <w:rsid w:val="007F74C1"/>
    <w:rsid w:val="0080008C"/>
    <w:rsid w:val="00800CCB"/>
    <w:rsid w:val="0080212A"/>
    <w:rsid w:val="00802675"/>
    <w:rsid w:val="008030AA"/>
    <w:rsid w:val="008032B3"/>
    <w:rsid w:val="008038F8"/>
    <w:rsid w:val="00804AEA"/>
    <w:rsid w:val="008069A2"/>
    <w:rsid w:val="00806EDC"/>
    <w:rsid w:val="008070DA"/>
    <w:rsid w:val="00810A3F"/>
    <w:rsid w:val="00814014"/>
    <w:rsid w:val="008143E8"/>
    <w:rsid w:val="00814E6B"/>
    <w:rsid w:val="008156A1"/>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23"/>
    <w:rsid w:val="008415A5"/>
    <w:rsid w:val="00841C2B"/>
    <w:rsid w:val="00845332"/>
    <w:rsid w:val="008470AE"/>
    <w:rsid w:val="00850806"/>
    <w:rsid w:val="00850D59"/>
    <w:rsid w:val="0085613D"/>
    <w:rsid w:val="008569F1"/>
    <w:rsid w:val="00860214"/>
    <w:rsid w:val="0086149A"/>
    <w:rsid w:val="0086185B"/>
    <w:rsid w:val="00865843"/>
    <w:rsid w:val="00865CE0"/>
    <w:rsid w:val="008664CF"/>
    <w:rsid w:val="00866C5E"/>
    <w:rsid w:val="00867A21"/>
    <w:rsid w:val="00870DC9"/>
    <w:rsid w:val="00872796"/>
    <w:rsid w:val="00872C80"/>
    <w:rsid w:val="00872F67"/>
    <w:rsid w:val="00873B1A"/>
    <w:rsid w:val="00874385"/>
    <w:rsid w:val="00874EBC"/>
    <w:rsid w:val="00876A49"/>
    <w:rsid w:val="00881960"/>
    <w:rsid w:val="00881B5E"/>
    <w:rsid w:val="008907FE"/>
    <w:rsid w:val="00890E40"/>
    <w:rsid w:val="008924B1"/>
    <w:rsid w:val="00893337"/>
    <w:rsid w:val="00893ED9"/>
    <w:rsid w:val="00894E8D"/>
    <w:rsid w:val="008963B4"/>
    <w:rsid w:val="008974A7"/>
    <w:rsid w:val="00897BB6"/>
    <w:rsid w:val="00897CF2"/>
    <w:rsid w:val="008A0E47"/>
    <w:rsid w:val="008A1D7C"/>
    <w:rsid w:val="008A378A"/>
    <w:rsid w:val="008A435E"/>
    <w:rsid w:val="008A46DF"/>
    <w:rsid w:val="008A5791"/>
    <w:rsid w:val="008A5864"/>
    <w:rsid w:val="008A692C"/>
    <w:rsid w:val="008B3CCA"/>
    <w:rsid w:val="008B6465"/>
    <w:rsid w:val="008C0E53"/>
    <w:rsid w:val="008C19AA"/>
    <w:rsid w:val="008C1AFA"/>
    <w:rsid w:val="008C6242"/>
    <w:rsid w:val="008C7104"/>
    <w:rsid w:val="008C75AE"/>
    <w:rsid w:val="008C7877"/>
    <w:rsid w:val="008D39BB"/>
    <w:rsid w:val="008D4C3B"/>
    <w:rsid w:val="008D6E08"/>
    <w:rsid w:val="008E23CC"/>
    <w:rsid w:val="008E2D02"/>
    <w:rsid w:val="008E34B8"/>
    <w:rsid w:val="008E39C3"/>
    <w:rsid w:val="008E4F86"/>
    <w:rsid w:val="008E6466"/>
    <w:rsid w:val="008E6E9A"/>
    <w:rsid w:val="008E7CE1"/>
    <w:rsid w:val="008F66B0"/>
    <w:rsid w:val="0090270D"/>
    <w:rsid w:val="009027E2"/>
    <w:rsid w:val="009079CC"/>
    <w:rsid w:val="0091105F"/>
    <w:rsid w:val="009116A0"/>
    <w:rsid w:val="00912A04"/>
    <w:rsid w:val="00920159"/>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3DF"/>
    <w:rsid w:val="00943471"/>
    <w:rsid w:val="009453E6"/>
    <w:rsid w:val="00945F13"/>
    <w:rsid w:val="00950447"/>
    <w:rsid w:val="00950E6B"/>
    <w:rsid w:val="009515FD"/>
    <w:rsid w:val="00952531"/>
    <w:rsid w:val="00953F0C"/>
    <w:rsid w:val="009542DC"/>
    <w:rsid w:val="009552AA"/>
    <w:rsid w:val="00957070"/>
    <w:rsid w:val="00962055"/>
    <w:rsid w:val="00965394"/>
    <w:rsid w:val="00965A3D"/>
    <w:rsid w:val="009664B5"/>
    <w:rsid w:val="00966659"/>
    <w:rsid w:val="009679C5"/>
    <w:rsid w:val="00967E1D"/>
    <w:rsid w:val="00970E32"/>
    <w:rsid w:val="00974C70"/>
    <w:rsid w:val="0097532A"/>
    <w:rsid w:val="00980F7E"/>
    <w:rsid w:val="00982069"/>
    <w:rsid w:val="009835FD"/>
    <w:rsid w:val="00983D31"/>
    <w:rsid w:val="009842F9"/>
    <w:rsid w:val="00987302"/>
    <w:rsid w:val="00987C8C"/>
    <w:rsid w:val="00991530"/>
    <w:rsid w:val="00993F42"/>
    <w:rsid w:val="009944B0"/>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1479"/>
    <w:rsid w:val="009D3ED9"/>
    <w:rsid w:val="009D3FB4"/>
    <w:rsid w:val="009D5D62"/>
    <w:rsid w:val="009D6777"/>
    <w:rsid w:val="009D6AAF"/>
    <w:rsid w:val="009D7DFB"/>
    <w:rsid w:val="009E0C97"/>
    <w:rsid w:val="009E3287"/>
    <w:rsid w:val="009E4CD4"/>
    <w:rsid w:val="009F019C"/>
    <w:rsid w:val="009F047D"/>
    <w:rsid w:val="009F4C37"/>
    <w:rsid w:val="009F5356"/>
    <w:rsid w:val="009F5F3B"/>
    <w:rsid w:val="009F6C74"/>
    <w:rsid w:val="00A002ED"/>
    <w:rsid w:val="00A00B22"/>
    <w:rsid w:val="00A068ED"/>
    <w:rsid w:val="00A10EB2"/>
    <w:rsid w:val="00A11FFE"/>
    <w:rsid w:val="00A126DC"/>
    <w:rsid w:val="00A150C4"/>
    <w:rsid w:val="00A17123"/>
    <w:rsid w:val="00A17F6F"/>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39E"/>
    <w:rsid w:val="00A83E4A"/>
    <w:rsid w:val="00A90CB4"/>
    <w:rsid w:val="00A92032"/>
    <w:rsid w:val="00A95F99"/>
    <w:rsid w:val="00A96323"/>
    <w:rsid w:val="00AA0379"/>
    <w:rsid w:val="00AA27D7"/>
    <w:rsid w:val="00AA4169"/>
    <w:rsid w:val="00AA6781"/>
    <w:rsid w:val="00AB53E7"/>
    <w:rsid w:val="00AB5825"/>
    <w:rsid w:val="00AB617C"/>
    <w:rsid w:val="00AB6FDC"/>
    <w:rsid w:val="00AB7017"/>
    <w:rsid w:val="00AB78CC"/>
    <w:rsid w:val="00AC2903"/>
    <w:rsid w:val="00AC2BB4"/>
    <w:rsid w:val="00AC3CAC"/>
    <w:rsid w:val="00AC44B9"/>
    <w:rsid w:val="00AC5CBC"/>
    <w:rsid w:val="00AC7D53"/>
    <w:rsid w:val="00AD2A36"/>
    <w:rsid w:val="00AD3808"/>
    <w:rsid w:val="00AD3A2D"/>
    <w:rsid w:val="00AD5BBD"/>
    <w:rsid w:val="00AD6367"/>
    <w:rsid w:val="00AD65B1"/>
    <w:rsid w:val="00AE097F"/>
    <w:rsid w:val="00AE0B6B"/>
    <w:rsid w:val="00AE31B0"/>
    <w:rsid w:val="00AE3ACE"/>
    <w:rsid w:val="00AE3BC2"/>
    <w:rsid w:val="00AF3A95"/>
    <w:rsid w:val="00AF4279"/>
    <w:rsid w:val="00AF430E"/>
    <w:rsid w:val="00AF4974"/>
    <w:rsid w:val="00AF5B1C"/>
    <w:rsid w:val="00AF6018"/>
    <w:rsid w:val="00AF6BB8"/>
    <w:rsid w:val="00AF7D27"/>
    <w:rsid w:val="00B01C67"/>
    <w:rsid w:val="00B0302C"/>
    <w:rsid w:val="00B052D9"/>
    <w:rsid w:val="00B0788E"/>
    <w:rsid w:val="00B10842"/>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4D28"/>
    <w:rsid w:val="00B46A9E"/>
    <w:rsid w:val="00B46BD4"/>
    <w:rsid w:val="00B46EAE"/>
    <w:rsid w:val="00B53689"/>
    <w:rsid w:val="00B5514A"/>
    <w:rsid w:val="00B6379B"/>
    <w:rsid w:val="00B63963"/>
    <w:rsid w:val="00B64B4E"/>
    <w:rsid w:val="00B64F7F"/>
    <w:rsid w:val="00B65921"/>
    <w:rsid w:val="00B6631F"/>
    <w:rsid w:val="00B663A0"/>
    <w:rsid w:val="00B677D0"/>
    <w:rsid w:val="00B70BF1"/>
    <w:rsid w:val="00B725AC"/>
    <w:rsid w:val="00B72AA3"/>
    <w:rsid w:val="00B7301E"/>
    <w:rsid w:val="00B7313C"/>
    <w:rsid w:val="00B75ECC"/>
    <w:rsid w:val="00B76BB2"/>
    <w:rsid w:val="00B774BA"/>
    <w:rsid w:val="00B77782"/>
    <w:rsid w:val="00B82426"/>
    <w:rsid w:val="00B837E2"/>
    <w:rsid w:val="00B83FB1"/>
    <w:rsid w:val="00B84145"/>
    <w:rsid w:val="00B853B3"/>
    <w:rsid w:val="00B85682"/>
    <w:rsid w:val="00B85813"/>
    <w:rsid w:val="00B86ABC"/>
    <w:rsid w:val="00B87224"/>
    <w:rsid w:val="00B91444"/>
    <w:rsid w:val="00B92498"/>
    <w:rsid w:val="00B9271F"/>
    <w:rsid w:val="00B929BD"/>
    <w:rsid w:val="00B9393F"/>
    <w:rsid w:val="00B94504"/>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084D"/>
    <w:rsid w:val="00BE0BDD"/>
    <w:rsid w:val="00BE1D94"/>
    <w:rsid w:val="00BE23D3"/>
    <w:rsid w:val="00BE3137"/>
    <w:rsid w:val="00BE46B4"/>
    <w:rsid w:val="00BE50D4"/>
    <w:rsid w:val="00BE6371"/>
    <w:rsid w:val="00BF38B2"/>
    <w:rsid w:val="00BF3D34"/>
    <w:rsid w:val="00BF49BD"/>
    <w:rsid w:val="00BF565A"/>
    <w:rsid w:val="00C02FDE"/>
    <w:rsid w:val="00C0559A"/>
    <w:rsid w:val="00C068DC"/>
    <w:rsid w:val="00C1079B"/>
    <w:rsid w:val="00C107CC"/>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57C11"/>
    <w:rsid w:val="00C6127C"/>
    <w:rsid w:val="00C62EE7"/>
    <w:rsid w:val="00C63A7D"/>
    <w:rsid w:val="00C67CA0"/>
    <w:rsid w:val="00C73491"/>
    <w:rsid w:val="00C73CA4"/>
    <w:rsid w:val="00C765A6"/>
    <w:rsid w:val="00C76BDA"/>
    <w:rsid w:val="00C776D2"/>
    <w:rsid w:val="00C77D76"/>
    <w:rsid w:val="00C82E69"/>
    <w:rsid w:val="00C91520"/>
    <w:rsid w:val="00C91BFA"/>
    <w:rsid w:val="00C9294A"/>
    <w:rsid w:val="00C92C12"/>
    <w:rsid w:val="00C92F49"/>
    <w:rsid w:val="00CA5BDE"/>
    <w:rsid w:val="00CB12DC"/>
    <w:rsid w:val="00CB5316"/>
    <w:rsid w:val="00CB6457"/>
    <w:rsid w:val="00CC0727"/>
    <w:rsid w:val="00CC11AC"/>
    <w:rsid w:val="00CC6900"/>
    <w:rsid w:val="00CC7AAC"/>
    <w:rsid w:val="00CD0232"/>
    <w:rsid w:val="00CD2245"/>
    <w:rsid w:val="00CD251B"/>
    <w:rsid w:val="00CD32A2"/>
    <w:rsid w:val="00CD33F2"/>
    <w:rsid w:val="00CD45CF"/>
    <w:rsid w:val="00CD5EEF"/>
    <w:rsid w:val="00CD7A18"/>
    <w:rsid w:val="00CE1061"/>
    <w:rsid w:val="00CE2D1F"/>
    <w:rsid w:val="00CE4513"/>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90F"/>
    <w:rsid w:val="00D13D91"/>
    <w:rsid w:val="00D141A8"/>
    <w:rsid w:val="00D14706"/>
    <w:rsid w:val="00D16F57"/>
    <w:rsid w:val="00D17030"/>
    <w:rsid w:val="00D221BF"/>
    <w:rsid w:val="00D22807"/>
    <w:rsid w:val="00D2630A"/>
    <w:rsid w:val="00D27323"/>
    <w:rsid w:val="00D30566"/>
    <w:rsid w:val="00D307BC"/>
    <w:rsid w:val="00D30CA9"/>
    <w:rsid w:val="00D3304F"/>
    <w:rsid w:val="00D33122"/>
    <w:rsid w:val="00D33253"/>
    <w:rsid w:val="00D372FB"/>
    <w:rsid w:val="00D373B7"/>
    <w:rsid w:val="00D37AE4"/>
    <w:rsid w:val="00D413F3"/>
    <w:rsid w:val="00D41ACB"/>
    <w:rsid w:val="00D44604"/>
    <w:rsid w:val="00D462B4"/>
    <w:rsid w:val="00D50916"/>
    <w:rsid w:val="00D51452"/>
    <w:rsid w:val="00D518CF"/>
    <w:rsid w:val="00D539BE"/>
    <w:rsid w:val="00D57224"/>
    <w:rsid w:val="00D61550"/>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C39F0"/>
    <w:rsid w:val="00DD0C41"/>
    <w:rsid w:val="00DD1FB7"/>
    <w:rsid w:val="00DD284E"/>
    <w:rsid w:val="00DD2961"/>
    <w:rsid w:val="00DD2B66"/>
    <w:rsid w:val="00DD45E5"/>
    <w:rsid w:val="00DD54E2"/>
    <w:rsid w:val="00DD5DBC"/>
    <w:rsid w:val="00DE1C6D"/>
    <w:rsid w:val="00DE2C03"/>
    <w:rsid w:val="00DE59C5"/>
    <w:rsid w:val="00DE5F92"/>
    <w:rsid w:val="00DE7047"/>
    <w:rsid w:val="00DE7259"/>
    <w:rsid w:val="00DE730D"/>
    <w:rsid w:val="00DE7BC0"/>
    <w:rsid w:val="00DF0DCD"/>
    <w:rsid w:val="00DF1AD4"/>
    <w:rsid w:val="00DF25CF"/>
    <w:rsid w:val="00DF362F"/>
    <w:rsid w:val="00DF4CF8"/>
    <w:rsid w:val="00DF7747"/>
    <w:rsid w:val="00E000CD"/>
    <w:rsid w:val="00E00A18"/>
    <w:rsid w:val="00E05A42"/>
    <w:rsid w:val="00E05D49"/>
    <w:rsid w:val="00E067EA"/>
    <w:rsid w:val="00E11D3D"/>
    <w:rsid w:val="00E12412"/>
    <w:rsid w:val="00E12938"/>
    <w:rsid w:val="00E157FE"/>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8761F"/>
    <w:rsid w:val="00E91048"/>
    <w:rsid w:val="00E92A13"/>
    <w:rsid w:val="00E92ED9"/>
    <w:rsid w:val="00E95989"/>
    <w:rsid w:val="00EA0CC8"/>
    <w:rsid w:val="00EA1558"/>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340"/>
    <w:rsid w:val="00ED6E41"/>
    <w:rsid w:val="00ED71A6"/>
    <w:rsid w:val="00ED77D3"/>
    <w:rsid w:val="00EE326F"/>
    <w:rsid w:val="00EE35F1"/>
    <w:rsid w:val="00EE542E"/>
    <w:rsid w:val="00EE557E"/>
    <w:rsid w:val="00EE5FBB"/>
    <w:rsid w:val="00EF1265"/>
    <w:rsid w:val="00EF39B0"/>
    <w:rsid w:val="00EF4252"/>
    <w:rsid w:val="00F00876"/>
    <w:rsid w:val="00F01C97"/>
    <w:rsid w:val="00F02053"/>
    <w:rsid w:val="00F03EDC"/>
    <w:rsid w:val="00F05347"/>
    <w:rsid w:val="00F10146"/>
    <w:rsid w:val="00F10A7A"/>
    <w:rsid w:val="00F117F1"/>
    <w:rsid w:val="00F12B0D"/>
    <w:rsid w:val="00F144DB"/>
    <w:rsid w:val="00F16511"/>
    <w:rsid w:val="00F16908"/>
    <w:rsid w:val="00F17312"/>
    <w:rsid w:val="00F17C22"/>
    <w:rsid w:val="00F209AB"/>
    <w:rsid w:val="00F2210D"/>
    <w:rsid w:val="00F26920"/>
    <w:rsid w:val="00F33760"/>
    <w:rsid w:val="00F35D8E"/>
    <w:rsid w:val="00F37105"/>
    <w:rsid w:val="00F40E67"/>
    <w:rsid w:val="00F41AA0"/>
    <w:rsid w:val="00F42B2E"/>
    <w:rsid w:val="00F4545F"/>
    <w:rsid w:val="00F45DA6"/>
    <w:rsid w:val="00F46AFD"/>
    <w:rsid w:val="00F54688"/>
    <w:rsid w:val="00F569ED"/>
    <w:rsid w:val="00F56F6F"/>
    <w:rsid w:val="00F6168D"/>
    <w:rsid w:val="00F63ADC"/>
    <w:rsid w:val="00F64002"/>
    <w:rsid w:val="00F65B93"/>
    <w:rsid w:val="00F66B3D"/>
    <w:rsid w:val="00F67D7A"/>
    <w:rsid w:val="00F712A2"/>
    <w:rsid w:val="00F732B5"/>
    <w:rsid w:val="00F734BB"/>
    <w:rsid w:val="00F73726"/>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AB1"/>
    <w:rsid w:val="00F96B06"/>
    <w:rsid w:val="00FA02E9"/>
    <w:rsid w:val="00FA169B"/>
    <w:rsid w:val="00FA3808"/>
    <w:rsid w:val="00FA3D47"/>
    <w:rsid w:val="00FA5FF2"/>
    <w:rsid w:val="00FB183C"/>
    <w:rsid w:val="00FB1B8E"/>
    <w:rsid w:val="00FB32B8"/>
    <w:rsid w:val="00FB32E7"/>
    <w:rsid w:val="00FB45AC"/>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14D563"/>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4169"/>
    <w:rPr>
      <w:noProof/>
      <w:sz w:val="24"/>
      <w:szCs w:val="24"/>
      <w:lang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rPr>
  </w:style>
  <w:style w:type="paragraph" w:styleId="Zkladntext">
    <w:name w:val="Body Text"/>
    <w:basedOn w:val="Normln"/>
    <w:link w:val="ZkladntextChar"/>
    <w:rsid w:val="00662FE3"/>
    <w:pPr>
      <w:spacing w:after="120"/>
    </w:pPr>
    <w:rPr>
      <w:lang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eastAsia="cs-CZ"/>
    </w:rPr>
  </w:style>
  <w:style w:type="paragraph" w:customStyle="1" w:styleId="nadpis31">
    <w:name w:val="nadpis3"/>
    <w:basedOn w:val="Normln"/>
    <w:uiPriority w:val="99"/>
    <w:rsid w:val="001E0239"/>
    <w:pPr>
      <w:spacing w:before="38" w:after="45"/>
      <w:ind w:left="15"/>
    </w:pPr>
    <w:rPr>
      <w:b/>
      <w:bCs/>
      <w:color w:val="065B9D"/>
      <w:lang w:eastAsia="cs-CZ"/>
    </w:rPr>
  </w:style>
  <w:style w:type="paragraph" w:styleId="Prosttext">
    <w:name w:val="Plain Text"/>
    <w:basedOn w:val="Normln"/>
    <w:link w:val="ProsttextChar"/>
    <w:uiPriority w:val="99"/>
    <w:rsid w:val="001E0239"/>
    <w:rPr>
      <w:lang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eastAsia="cs-CZ"/>
    </w:rPr>
  </w:style>
  <w:style w:type="paragraph" w:customStyle="1" w:styleId="Styl1">
    <w:name w:val="Styl1"/>
    <w:basedOn w:val="Normln"/>
    <w:uiPriority w:val="99"/>
    <w:rsid w:val="001E0239"/>
    <w:pPr>
      <w:widowControl w:val="0"/>
      <w:tabs>
        <w:tab w:val="left" w:pos="709"/>
      </w:tabs>
      <w:spacing w:line="320" w:lineRule="atLeast"/>
      <w:jc w:val="both"/>
    </w:pPr>
    <w:rPr>
      <w:lang w:eastAsia="cs-CZ"/>
    </w:rPr>
  </w:style>
  <w:style w:type="paragraph" w:customStyle="1" w:styleId="odstavecpodpsmeny">
    <w:name w:val="odstavec pod písmeny"/>
    <w:basedOn w:val="Normln"/>
    <w:rsid w:val="001E0239"/>
    <w:pPr>
      <w:jc w:val="both"/>
    </w:pPr>
    <w:rPr>
      <w:b/>
      <w:bCs/>
      <w:lang w:eastAsia="cs-CZ"/>
    </w:rPr>
  </w:style>
  <w:style w:type="paragraph" w:customStyle="1" w:styleId="Barevnseznamzvraznn11">
    <w:name w:val="Barevný seznam – zvýraznění 11"/>
    <w:basedOn w:val="Normln"/>
    <w:uiPriority w:val="99"/>
    <w:rsid w:val="001E0239"/>
    <w:pPr>
      <w:ind w:left="720"/>
    </w:pPr>
    <w:rPr>
      <w:lang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eastAsia="cs-CZ"/>
    </w:rPr>
  </w:style>
  <w:style w:type="paragraph" w:customStyle="1" w:styleId="msolistparagraph0">
    <w:name w:val="msolistparagraph"/>
    <w:basedOn w:val="Normln"/>
    <w:uiPriority w:val="99"/>
    <w:rsid w:val="001E0239"/>
    <w:pPr>
      <w:ind w:left="720"/>
    </w:pPr>
    <w:rPr>
      <w:lang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sz w:val="22"/>
      <w:szCs w:val="22"/>
    </w:rPr>
  </w:style>
  <w:style w:type="paragraph" w:customStyle="1" w:styleId="Alpha1">
    <w:name w:val="Alpha 1"/>
    <w:basedOn w:val="Normln"/>
    <w:uiPriority w:val="99"/>
    <w:rsid w:val="006A2A31"/>
    <w:pPr>
      <w:numPr>
        <w:numId w:val="8"/>
      </w:numPr>
    </w:pPr>
    <w:rPr>
      <w:rFonts w:ascii="Calibri" w:hAnsi="Calibri" w:cs="Calibri"/>
      <w:sz w:val="22"/>
      <w:szCs w:val="22"/>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rPr>
  </w:style>
  <w:style w:type="paragraph" w:customStyle="1" w:styleId="wText">
    <w:name w:val="wText"/>
    <w:basedOn w:val="Normln"/>
    <w:link w:val="wTextChar"/>
    <w:uiPriority w:val="99"/>
    <w:qFormat/>
    <w:rsid w:val="000E0340"/>
    <w:pPr>
      <w:spacing w:after="180"/>
      <w:jc w:val="both"/>
    </w:pPr>
    <w:rPr>
      <w:rFonts w:eastAsia="MS Mincho"/>
      <w:sz w:val="22"/>
      <w:szCs w:val="22"/>
    </w:rPr>
  </w:style>
  <w:style w:type="paragraph" w:customStyle="1" w:styleId="wText1">
    <w:name w:val="wText1"/>
    <w:basedOn w:val="Normln"/>
    <w:uiPriority w:val="1"/>
    <w:qFormat/>
    <w:rsid w:val="000E0340"/>
    <w:pPr>
      <w:spacing w:after="180"/>
      <w:ind w:left="720"/>
      <w:jc w:val="both"/>
    </w:pPr>
    <w:rPr>
      <w:rFonts w:eastAsia="MS Mincho"/>
      <w:sz w:val="22"/>
      <w:szCs w:val="22"/>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eastAsia="cs-CZ"/>
    </w:rPr>
  </w:style>
  <w:style w:type="paragraph" w:customStyle="1" w:styleId="CM3">
    <w:name w:val="CM3"/>
    <w:basedOn w:val="Normln"/>
    <w:uiPriority w:val="99"/>
    <w:rsid w:val="008664CF"/>
    <w:pPr>
      <w:autoSpaceDE w:val="0"/>
      <w:autoSpaceDN w:val="0"/>
    </w:pPr>
    <w:rPr>
      <w:rFonts w:ascii="EUAlbertina" w:eastAsiaTheme="minorHAnsi" w:hAnsi="EUAlbertina"/>
      <w:lang w:eastAsia="cs-CZ"/>
    </w:rPr>
  </w:style>
  <w:style w:type="paragraph" w:customStyle="1" w:styleId="CM4">
    <w:name w:val="CM4"/>
    <w:basedOn w:val="Normln"/>
    <w:uiPriority w:val="99"/>
    <w:rsid w:val="008664CF"/>
    <w:pPr>
      <w:autoSpaceDE w:val="0"/>
      <w:autoSpaceDN w:val="0"/>
    </w:pPr>
    <w:rPr>
      <w:rFonts w:ascii="EUAlbertina" w:eastAsiaTheme="minorHAnsi" w:hAnsi="EUAlbertina"/>
      <w:lang w:eastAsia="cs-CZ"/>
    </w:rPr>
  </w:style>
  <w:style w:type="paragraph" w:customStyle="1" w:styleId="doc-ti">
    <w:name w:val="doc-ti"/>
    <w:basedOn w:val="Normln"/>
    <w:rsid w:val="008664CF"/>
    <w:pPr>
      <w:spacing w:before="100" w:beforeAutospacing="1" w:after="100" w:afterAutospacing="1"/>
    </w:pPr>
    <w:rPr>
      <w:lang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rPr>
  </w:style>
  <w:style w:type="paragraph" w:customStyle="1" w:styleId="c01pointaltn">
    <w:name w:val="c01pointaltn"/>
    <w:basedOn w:val="Normln"/>
    <w:rsid w:val="00EC5031"/>
    <w:pPr>
      <w:spacing w:before="100" w:beforeAutospacing="1" w:after="100" w:afterAutospacing="1"/>
    </w:pPr>
    <w:rPr>
      <w:lang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eastAsia="cs-CZ"/>
    </w:rPr>
  </w:style>
  <w:style w:type="paragraph" w:customStyle="1" w:styleId="l41">
    <w:name w:val="l41"/>
    <w:basedOn w:val="Normln"/>
    <w:rsid w:val="005D2213"/>
    <w:pPr>
      <w:spacing w:before="144" w:after="144"/>
      <w:jc w:val="both"/>
    </w:pPr>
    <w:rPr>
      <w:lang w:eastAsia="cs-CZ"/>
    </w:rPr>
  </w:style>
  <w:style w:type="paragraph" w:customStyle="1" w:styleId="l61">
    <w:name w:val="l61"/>
    <w:basedOn w:val="Normln"/>
    <w:rsid w:val="00744760"/>
    <w:pPr>
      <w:spacing w:before="144" w:after="144"/>
      <w:jc w:val="both"/>
    </w:pPr>
    <w:rPr>
      <w:lang w:eastAsia="cs-CZ"/>
    </w:rPr>
  </w:style>
  <w:style w:type="paragraph" w:customStyle="1" w:styleId="l71">
    <w:name w:val="l71"/>
    <w:basedOn w:val="Normln"/>
    <w:rsid w:val="00744760"/>
    <w:pPr>
      <w:spacing w:before="144" w:after="144"/>
      <w:jc w:val="both"/>
    </w:pPr>
    <w:rPr>
      <w:lang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eastAsia="cs-CZ"/>
    </w:rPr>
  </w:style>
  <w:style w:type="paragraph" w:customStyle="1" w:styleId="l6">
    <w:name w:val="l6"/>
    <w:basedOn w:val="Normln"/>
    <w:rsid w:val="001509DB"/>
    <w:pPr>
      <w:spacing w:before="100" w:beforeAutospacing="1" w:after="100" w:afterAutospacing="1"/>
    </w:pPr>
    <w:rPr>
      <w:lang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eastAsia="cs-CZ"/>
    </w:rPr>
  </w:style>
  <w:style w:type="paragraph" w:customStyle="1" w:styleId="l2">
    <w:name w:val="l2"/>
    <w:basedOn w:val="Normln"/>
    <w:rsid w:val="00874385"/>
    <w:pPr>
      <w:spacing w:before="100" w:beforeAutospacing="1" w:after="100" w:afterAutospacing="1"/>
    </w:pPr>
    <w:rPr>
      <w:lang w:eastAsia="cs-CZ"/>
    </w:rPr>
  </w:style>
  <w:style w:type="paragraph" w:customStyle="1" w:styleId="normln1">
    <w:name w:val="normln"/>
    <w:basedOn w:val="Normln"/>
    <w:rsid w:val="00BE50D4"/>
    <w:pPr>
      <w:spacing w:before="100" w:beforeAutospacing="1" w:after="100" w:afterAutospacing="1"/>
    </w:pPr>
    <w:rPr>
      <w:lang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eastAsia="cs-CZ"/>
    </w:rPr>
  </w:style>
  <w:style w:type="paragraph" w:customStyle="1" w:styleId="xmsonormal">
    <w:name w:val="x_msonormal"/>
    <w:basedOn w:val="Normln"/>
    <w:rsid w:val="00CD5EEF"/>
    <w:rPr>
      <w:rFonts w:ascii="Trebuchet MS" w:eastAsiaTheme="minorHAnsi" w:hAnsi="Trebuchet MS" w:cs="Calibri"/>
      <w:color w:val="404040"/>
      <w:sz w:val="20"/>
      <w:szCs w:val="20"/>
      <w:lang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eastAsia="cs-CZ"/>
    </w:rPr>
  </w:style>
  <w:style w:type="character" w:customStyle="1" w:styleId="Nevyeenzmnka1">
    <w:name w:val="Nevyřešená zmínka1"/>
    <w:basedOn w:val="Standardnpsmoodstavce"/>
    <w:uiPriority w:val="99"/>
    <w:semiHidden/>
    <w:unhideWhenUsed/>
    <w:rsid w:val="001A6488"/>
    <w:rPr>
      <w:color w:val="605E5C"/>
      <w:shd w:val="clear" w:color="auto" w:fill="E1DFDD"/>
    </w:rPr>
  </w:style>
  <w:style w:type="character" w:styleId="Sledovanodkaz">
    <w:name w:val="FollowedHyperlink"/>
    <w:basedOn w:val="Standardnpsmoodstavce"/>
    <w:uiPriority w:val="99"/>
    <w:semiHidden/>
    <w:unhideWhenUsed/>
    <w:locked/>
    <w:rsid w:val="001A64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vyhledavac.nssoud.cz/DokumentOriginal/Index/610111" TargetMode="External"/><Relationship Id="rId1" Type="http://schemas.openxmlformats.org/officeDocument/2006/relationships/hyperlink" Target="https://vyhledavac.nssoud.cz/DokumentOriginal/Index/640760"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2987E-4AD3-4E70-9FED-A54CBBF7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3063</Words>
  <Characters>16362</Characters>
  <Application>Microsoft Office Word</Application>
  <DocSecurity>0</DocSecurity>
  <Lines>136</Lines>
  <Paragraphs>38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19387</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Jan Bonaventura</cp:lastModifiedBy>
  <cp:revision>2</cp:revision>
  <cp:lastPrinted>2025-01-07T09:31:00Z</cp:lastPrinted>
  <dcterms:created xsi:type="dcterms:W3CDTF">2025-01-18T11:41:00Z</dcterms:created>
  <dcterms:modified xsi:type="dcterms:W3CDTF">2025-01-18T11:41:00Z</dcterms:modified>
</cp:coreProperties>
</file>